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B3AFE6" w14:textId="77777777" w:rsidR="00724F85" w:rsidRPr="00AD445F" w:rsidRDefault="00EC62DF">
      <w:pPr>
        <w:spacing w:before="640"/>
        <w:rPr>
          <w:rFonts w:ascii="SimSun" w:eastAsia="SimSun" w:hAnsi="SimSun"/>
          <w:lang w:eastAsia="zh-CN"/>
        </w:rPr>
      </w:pPr>
      <w:r>
        <w:rPr>
          <w:rFonts w:ascii="Aptos" w:eastAsia="Aptos" w:hAnsi="Aptos"/>
          <w:noProof/>
          <w:sz w:val="40"/>
          <w:szCs w:val="56"/>
          <w:lang w:val="zh-CN" w:eastAsia="zh-CN"/>
        </w:rPr>
        <w:drawing>
          <wp:anchor distT="0" distB="0" distL="114300" distR="114300" simplePos="0" relativeHeight="251658240" behindDoc="1" locked="0" layoutInCell="1" allowOverlap="1" wp14:anchorId="7CEFF23A" wp14:editId="56124008">
            <wp:simplePos x="0" y="0"/>
            <wp:positionH relativeFrom="column">
              <wp:posOffset>-575945</wp:posOffset>
            </wp:positionH>
            <wp:positionV relativeFrom="paragraph">
              <wp:posOffset>-1006821</wp:posOffset>
            </wp:positionV>
            <wp:extent cx="7554191" cy="11331287"/>
            <wp:effectExtent l="0" t="0" r="2540" b="0"/>
            <wp:wrapNone/>
            <wp:docPr id="18524381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438178" name="Picture 1852438178"/>
                    <pic:cNvPicPr/>
                  </pic:nvPicPr>
                  <pic:blipFill>
                    <a:blip r:embed="rId8"/>
                    <a:stretch>
                      <a:fillRect/>
                    </a:stretch>
                  </pic:blipFill>
                  <pic:spPr>
                    <a:xfrm>
                      <a:off x="0" y="0"/>
                      <a:ext cx="7554191" cy="11331287"/>
                    </a:xfrm>
                    <a:prstGeom prst="rect">
                      <a:avLst/>
                    </a:prstGeom>
                  </pic:spPr>
                </pic:pic>
              </a:graphicData>
            </a:graphic>
            <wp14:sizeRelH relativeFrom="page">
              <wp14:pctWidth>0</wp14:pctWidth>
            </wp14:sizeRelH>
            <wp14:sizeRelV relativeFrom="page">
              <wp14:pctHeight>0</wp14:pctHeight>
            </wp14:sizeRelV>
          </wp:anchor>
        </w:drawing>
      </w:r>
      <w:r>
        <w:rPr>
          <w:rFonts w:ascii="Aptos" w:eastAsia="Aptos" w:hAnsi="Aptos"/>
          <w:b/>
          <w:noProof/>
          <w:color w:val="0F766E"/>
          <w:sz w:val="88"/>
        </w:rPr>
        <w:drawing>
          <wp:inline distT="0" distB="0" distL="0" distR="0" wp14:anchorId="25A6E2DC" wp14:editId="702049E2">
            <wp:extent cx="6408420" cy="2136140"/>
            <wp:effectExtent l="0" t="0" r="0" b="0"/>
            <wp:docPr id="531204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04795" name="Picture 531204795"/>
                    <pic:cNvPicPr/>
                  </pic:nvPicPr>
                  <pic:blipFill>
                    <a:blip r:embed="rId9"/>
                    <a:stretch>
                      <a:fillRect/>
                    </a:stretch>
                  </pic:blipFill>
                  <pic:spPr>
                    <a:xfrm>
                      <a:off x="0" y="0"/>
                      <a:ext cx="6408420" cy="2136140"/>
                    </a:xfrm>
                    <a:prstGeom prst="rect">
                      <a:avLst/>
                    </a:prstGeom>
                  </pic:spPr>
                </pic:pic>
              </a:graphicData>
            </a:graphic>
          </wp:inline>
        </w:drawing>
      </w:r>
    </w:p>
    <w:p w14:paraId="736FF1F4" w14:textId="77777777" w:rsidR="00724F85" w:rsidRPr="00AD445F" w:rsidRDefault="00000000" w:rsidP="00EC62DF">
      <w:pPr>
        <w:spacing w:before="160" w:after="200"/>
        <w:jc w:val="center"/>
        <w:rPr>
          <w:rFonts w:ascii="SimSun" w:eastAsia="SimSun" w:hAnsi="SimSun"/>
        </w:rPr>
      </w:pPr>
      <w:r w:rsidRPr="00AD445F">
        <w:rPr>
          <w:rFonts w:ascii="Aptos" w:eastAsia="Aptos" w:hAnsi="Aptos"/>
          <w:b/>
          <w:sz w:val="48"/>
        </w:rPr>
        <w:t>Sovereign Data Infrastructure</w:t>
      </w:r>
      <w:r w:rsidRPr="00AD445F">
        <w:rPr>
          <w:rFonts w:ascii="Aptos" w:eastAsia="Aptos" w:hAnsi="Aptos"/>
          <w:b/>
          <w:sz w:val="48"/>
        </w:rPr>
        <w:br/>
        <w:t>for the Decentralized World</w:t>
      </w:r>
    </w:p>
    <w:p w14:paraId="28A210F5" w14:textId="77777777" w:rsidR="00724F85" w:rsidRPr="00053827" w:rsidRDefault="00000000" w:rsidP="00EC62DF">
      <w:pPr>
        <w:pStyle w:val="WPLead"/>
        <w:pBdr>
          <w:bottom w:val="single" w:sz="20" w:space="10" w:color="0F766E"/>
        </w:pBdr>
        <w:spacing w:after="360"/>
        <w:jc w:val="center"/>
        <w:rPr>
          <w:rFonts w:ascii="SimSun" w:eastAsia="SimSun" w:hAnsi="SimSun"/>
          <w:b/>
          <w:bCs/>
          <w:sz w:val="32"/>
          <w:szCs w:val="32"/>
          <w:lang w:eastAsia="zh-CN"/>
        </w:rPr>
      </w:pPr>
      <w:r w:rsidRPr="00053827">
        <w:rPr>
          <w:rFonts w:ascii="Aptos" w:eastAsia="Aptos" w:hAnsi="Aptos"/>
          <w:b/>
          <w:bCs/>
          <w:sz w:val="32"/>
          <w:szCs w:val="32"/>
          <w:lang w:eastAsia="zh-CN"/>
        </w:rPr>
        <w:t>Sovereign Data Infrastructure for the Decentralized World</w:t>
      </w:r>
    </w:p>
    <w:p w14:paraId="6C714F75" w14:textId="77777777" w:rsidR="00724F85" w:rsidRPr="00AD445F" w:rsidRDefault="00000000" w:rsidP="00EC62DF">
      <w:pPr>
        <w:pStyle w:val="WPQuote"/>
        <w:spacing w:before="240" w:after="480"/>
        <w:jc w:val="center"/>
        <w:rPr>
          <w:rFonts w:ascii="SimSun" w:eastAsia="SimSun" w:hAnsi="SimSun"/>
          <w:lang w:eastAsia="zh-CN"/>
        </w:rPr>
      </w:pPr>
      <w:r w:rsidRPr="00AD445F">
        <w:rPr>
          <w:rFonts w:ascii="Aptos" w:eastAsia="Aptos" w:hAnsi="Aptos"/>
          <w:lang w:eastAsia="zh-CN"/>
        </w:rPr>
        <w:t>SOVRA combines client-side encryption, content addressing, erasure coding, distributed nodes, verifiable storage, and on-chain settlement to provide individuals, developers, and organizations with controllable, verifiable, and portable data services.</w:t>
      </w:r>
    </w:p>
    <w:p w14:paraId="52022E25" w14:textId="77777777" w:rsidR="00724F85" w:rsidRPr="00AD445F" w:rsidRDefault="00000000" w:rsidP="00EC62DF">
      <w:pPr>
        <w:spacing w:after="60"/>
        <w:jc w:val="center"/>
        <w:rPr>
          <w:rFonts w:ascii="SimSun" w:eastAsia="SimSun" w:hAnsi="SimSun"/>
        </w:rPr>
      </w:pPr>
      <w:proofErr w:type="gramStart"/>
      <w:r w:rsidRPr="00AD445F">
        <w:rPr>
          <w:rFonts w:ascii="Aptos" w:eastAsia="Aptos" w:hAnsi="Aptos"/>
          <w:b/>
          <w:color w:val="5C6B7D"/>
          <w:sz w:val="16"/>
        </w:rPr>
        <w:t>WHITEPAPER  v1.1</w:t>
      </w:r>
      <w:proofErr w:type="gramEnd"/>
    </w:p>
    <w:p w14:paraId="38B117D6" w14:textId="77777777" w:rsidR="00724F85" w:rsidRPr="00AD445F" w:rsidRDefault="00000000" w:rsidP="00EC62DF">
      <w:pPr>
        <w:spacing w:after="60"/>
        <w:jc w:val="center"/>
        <w:rPr>
          <w:rFonts w:ascii="SimSun" w:eastAsia="SimSun" w:hAnsi="SimSun"/>
        </w:rPr>
      </w:pPr>
      <w:r w:rsidRPr="00AD445F">
        <w:rPr>
          <w:rFonts w:ascii="Aptos" w:eastAsia="Aptos" w:hAnsi="Aptos"/>
          <w:b/>
          <w:color w:val="5C6B7D"/>
          <w:sz w:val="16"/>
        </w:rPr>
        <w:t xml:space="preserve">NATIVE UTILITY </w:t>
      </w:r>
      <w:proofErr w:type="gramStart"/>
      <w:r w:rsidRPr="00AD445F">
        <w:rPr>
          <w:rFonts w:ascii="Aptos" w:eastAsia="Aptos" w:hAnsi="Aptos"/>
          <w:b/>
          <w:color w:val="5C6B7D"/>
          <w:sz w:val="16"/>
        </w:rPr>
        <w:t>TOKEN  SOVR</w:t>
      </w:r>
      <w:proofErr w:type="gramEnd"/>
    </w:p>
    <w:p w14:paraId="7CEC30C6" w14:textId="77777777" w:rsidR="00724F85" w:rsidRPr="00AD445F" w:rsidRDefault="00000000" w:rsidP="00EC62DF">
      <w:pPr>
        <w:spacing w:after="60"/>
        <w:jc w:val="center"/>
        <w:rPr>
          <w:rFonts w:ascii="SimSun" w:eastAsia="SimSun" w:hAnsi="SimSun"/>
        </w:rPr>
      </w:pPr>
      <w:r w:rsidRPr="00AD445F">
        <w:rPr>
          <w:rFonts w:ascii="Aptos" w:eastAsia="Aptos" w:hAnsi="Aptos"/>
          <w:b/>
          <w:color w:val="5C6B7D"/>
          <w:sz w:val="16"/>
        </w:rPr>
        <w:t xml:space="preserve">MAXIMUM </w:t>
      </w:r>
      <w:proofErr w:type="gramStart"/>
      <w:r w:rsidRPr="00AD445F">
        <w:rPr>
          <w:rFonts w:ascii="Aptos" w:eastAsia="Aptos" w:hAnsi="Aptos"/>
          <w:b/>
          <w:color w:val="5C6B7D"/>
          <w:sz w:val="16"/>
        </w:rPr>
        <w:t>SUPPLY  200,000,000</w:t>
      </w:r>
      <w:proofErr w:type="gramEnd"/>
      <w:r w:rsidRPr="00AD445F">
        <w:rPr>
          <w:rFonts w:ascii="Aptos" w:eastAsia="Aptos" w:hAnsi="Aptos"/>
          <w:b/>
          <w:color w:val="5C6B7D"/>
          <w:sz w:val="16"/>
        </w:rPr>
        <w:t xml:space="preserve"> SOVR</w:t>
      </w:r>
    </w:p>
    <w:p w14:paraId="0C181970" w14:textId="77777777" w:rsidR="00724F85" w:rsidRPr="00AD445F" w:rsidRDefault="00000000" w:rsidP="00EC62DF">
      <w:pPr>
        <w:spacing w:after="60"/>
        <w:jc w:val="center"/>
        <w:rPr>
          <w:rFonts w:ascii="SimSun" w:eastAsia="SimSun" w:hAnsi="SimSun"/>
        </w:rPr>
      </w:pPr>
      <w:r w:rsidRPr="00AD445F">
        <w:rPr>
          <w:rFonts w:ascii="Aptos" w:eastAsia="Aptos" w:hAnsi="Aptos"/>
          <w:b/>
          <w:color w:val="5C6B7D"/>
          <w:sz w:val="16"/>
        </w:rPr>
        <w:t xml:space="preserve">REFERENCE SETTLEMENT </w:t>
      </w:r>
      <w:proofErr w:type="gramStart"/>
      <w:r w:rsidRPr="00AD445F">
        <w:rPr>
          <w:rFonts w:ascii="Aptos" w:eastAsia="Aptos" w:hAnsi="Aptos"/>
          <w:b/>
          <w:color w:val="5C6B7D"/>
          <w:sz w:val="16"/>
        </w:rPr>
        <w:t>NETWORK  Solana</w:t>
      </w:r>
      <w:proofErr w:type="gramEnd"/>
    </w:p>
    <w:p w14:paraId="13949AC2" w14:textId="77777777" w:rsidR="00724F85" w:rsidRPr="00AD445F" w:rsidRDefault="0073105C" w:rsidP="00EC62DF">
      <w:pPr>
        <w:spacing w:before="1080"/>
        <w:jc w:val="center"/>
        <w:rPr>
          <w:rFonts w:ascii="SimSun" w:eastAsia="SimSun" w:hAnsi="SimSun"/>
        </w:rPr>
      </w:pPr>
      <w:r>
        <w:rPr>
          <w:rFonts w:ascii="Aptos" w:eastAsia="Aptos" w:hAnsi="Aptos"/>
          <w:b/>
          <w:color w:val="0F766E"/>
          <w:sz w:val="32"/>
          <w:lang w:eastAsia="zh-CN"/>
        </w:rPr>
        <w:br/>
      </w:r>
      <w:r>
        <w:rPr>
          <w:rFonts w:ascii="Aptos" w:eastAsia="Aptos" w:hAnsi="Aptos"/>
          <w:b/>
          <w:color w:val="0F766E"/>
          <w:sz w:val="32"/>
          <w:lang w:eastAsia="zh-CN"/>
        </w:rPr>
        <w:br/>
        <w:t>OWN YOUR DATA. OWN YOUR FUTURE.</w:t>
      </w:r>
    </w:p>
    <w:p w14:paraId="4701B960" w14:textId="77777777" w:rsidR="00724F85" w:rsidRPr="00AD445F" w:rsidRDefault="0073105C" w:rsidP="00EC62DF">
      <w:pPr>
        <w:pStyle w:val="WPSmall"/>
        <w:jc w:val="center"/>
        <w:rPr>
          <w:rFonts w:ascii="SimSun" w:eastAsia="SimSun" w:hAnsi="SimSun"/>
        </w:rPr>
      </w:pPr>
      <w:r>
        <w:rPr>
          <w:rFonts w:ascii="Aptos" w:eastAsia="Aptos" w:hAnsi="Aptos"/>
          <w:lang w:eastAsia="zh-CN"/>
        </w:rPr>
        <w:br/>
      </w:r>
      <w:r>
        <w:rPr>
          <w:rFonts w:ascii="Aptos" w:eastAsia="Aptos" w:hAnsi="Aptos"/>
          <w:lang w:eastAsia="zh-CN"/>
        </w:rPr>
        <w:br/>
      </w:r>
      <w:r>
        <w:rPr>
          <w:rFonts w:ascii="Aptos" w:eastAsia="Aptos" w:hAnsi="Aptos"/>
          <w:lang w:eastAsia="zh-CN"/>
        </w:rPr>
        <w:br/>
      </w:r>
      <w:r>
        <w:rPr>
          <w:rFonts w:ascii="Aptos" w:eastAsia="Aptos" w:hAnsi="Aptos"/>
          <w:lang w:eastAsia="zh-CN"/>
        </w:rPr>
        <w:br/>
      </w:r>
      <w:r>
        <w:rPr>
          <w:rFonts w:ascii="Aptos" w:eastAsia="Aptos" w:hAnsi="Aptos"/>
          <w:lang w:eastAsia="zh-CN"/>
        </w:rPr>
        <w:br/>
      </w:r>
      <w:r>
        <w:rPr>
          <w:rFonts w:ascii="Aptos" w:eastAsia="Aptos" w:hAnsi="Aptos"/>
          <w:lang w:eastAsia="zh-CN"/>
        </w:rPr>
        <w:br/>
      </w:r>
      <w:r>
        <w:rPr>
          <w:rFonts w:ascii="Aptos" w:eastAsia="Aptos" w:hAnsi="Aptos"/>
          <w:lang w:eastAsia="zh-CN"/>
        </w:rPr>
        <w:br/>
      </w:r>
      <w:r>
        <w:rPr>
          <w:rFonts w:ascii="Aptos" w:eastAsia="Aptos" w:hAnsi="Aptos"/>
          <w:lang w:eastAsia="zh-CN"/>
        </w:rPr>
        <w:br/>
      </w:r>
      <w:r>
        <w:rPr>
          <w:rFonts w:ascii="Aptos" w:eastAsia="Aptos" w:hAnsi="Aptos"/>
          <w:lang w:eastAsia="zh-CN"/>
        </w:rPr>
        <w:br/>
        <w:t>Concept &amp; Technical Design Whitepaper · October 2026</w:t>
      </w:r>
    </w:p>
    <w:p w14:paraId="28317ADB" w14:textId="77777777" w:rsidR="00724F85" w:rsidRPr="00AD445F" w:rsidRDefault="00000000">
      <w:pPr>
        <w:rPr>
          <w:rFonts w:ascii="SimSun" w:eastAsia="SimSun" w:hAnsi="SimSun"/>
        </w:rPr>
      </w:pPr>
      <w:r w:rsidRPr="00AD445F">
        <w:rPr>
          <w:rFonts w:ascii="Aptos" w:eastAsia="Aptos" w:hAnsi="Aptos"/>
        </w:rPr>
        <w:br w:type="page"/>
      </w:r>
    </w:p>
    <w:p w14:paraId="0D42FB61" w14:textId="77777777" w:rsidR="00724F85" w:rsidRPr="00AD445F" w:rsidRDefault="00000000">
      <w:pPr>
        <w:pStyle w:val="WPKicker"/>
        <w:keepNext/>
        <w:rPr>
          <w:rFonts w:ascii="SimSun" w:eastAsia="SimSun" w:hAnsi="SimSun"/>
          <w:sz w:val="40"/>
          <w:szCs w:val="56"/>
          <w:lang w:eastAsia="zh-CN"/>
        </w:rPr>
      </w:pPr>
      <w:r w:rsidRPr="00AD445F">
        <w:rPr>
          <w:rFonts w:ascii="Aptos" w:eastAsia="Aptos" w:hAnsi="Aptos"/>
          <w:sz w:val="40"/>
          <w:szCs w:val="56"/>
          <w:lang w:eastAsia="zh-CN"/>
        </w:rPr>
        <w:lastRenderedPageBreak/>
        <w:t>PRELIMINARY NOTES</w:t>
      </w:r>
    </w:p>
    <w:p w14:paraId="5DB26738"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0.1  Nature and Scope of This Document</w:t>
      </w:r>
    </w:p>
    <w:p w14:paraId="202EA4EA"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This whitepaper explains SOVRA’s vision, target architecture, protocol mechanisms, and economic design. It is a reader-facing design document, not a promise of returns or a token-sale document.</w:t>
      </w:r>
    </w:p>
    <w:p w14:paraId="3879691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Concept and Design Document</w:t>
      </w:r>
    </w:p>
    <w:p w14:paraId="24C2820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Protocol design and product direction remain the core of this whitepaper. Descriptions of proof mechanisms, node thresholds, service levels, fees, governance thresholds, and development cadence represent the current proposed design and constraints. They must be implemented, tested, security-assessed, and legally reviewed before they can become production parameters. Readers should not interpret target values, illustrative formulas, or proposed arrangements as already achieved network metrics.</w:t>
      </w:r>
    </w:p>
    <w:p w14:paraId="550265F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foundational project parameters confirmed in this document are: the protocol and ecosystem name SOVRA; the native utility-token symbol SOVR; a fixed maximum supply of 200,000,000 SOVR; and Solana as the reference registry and settlement network. SOVRA does not propose writing large files directly to Solana. On-chain state is limited to commitments, payments, node registration, governance, and proof summaries that require consensus.</w:t>
      </w:r>
    </w:p>
    <w:p w14:paraId="580E6309"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Risk and Responsibility</w:t>
      </w:r>
    </w:p>
    <w:p w14:paraId="3AFA33D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Digital assets, smart contracts, cryptographic implementations, distributed storage, open node networks, and cross-border data services all involve material risks. SOVR is designed for network payments, staking collateral, node incentives, governance, and ecosystem coordination, but this document does not constitute securities, a fund, a deposit, a fixed-income product, investment advice, solicitation, or guarantee of any kind.</w:t>
      </w:r>
    </w:p>
    <w:p w14:paraId="2BA3F50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Any public deployment should comply with applicable rules on data protection, cybersecurity, sanctions, anti-money laundering, consumer protection, taxation, content liability, and digital assets in the relevant jurisdictions. Technical architecture does not automatically remove legal responsibility, and client-side encryption does not make every business use case inherently compliant.</w:t>
      </w:r>
    </w:p>
    <w:tbl>
      <w:tblPr>
        <w:tblW w:w="0" w:type="auto"/>
        <w:jc w:val="center"/>
        <w:tblLayout w:type="fixed"/>
        <w:tblLook w:val="04A0" w:firstRow="1" w:lastRow="0" w:firstColumn="1" w:lastColumn="0" w:noHBand="0" w:noVBand="1"/>
      </w:tblPr>
      <w:tblGrid>
        <w:gridCol w:w="10092"/>
      </w:tblGrid>
      <w:tr w:rsidR="00724F85" w:rsidRPr="00AD445F" w14:paraId="3CAF5187" w14:textId="77777777">
        <w:trPr>
          <w:jc w:val="center"/>
        </w:trPr>
        <w:tc>
          <w:tcPr>
            <w:tcW w:w="10092" w:type="dxa"/>
            <w:shd w:val="clear" w:color="auto" w:fill="FFF4D6"/>
            <w:tcMar>
              <w:top w:w="120" w:type="dxa"/>
              <w:left w:w="180" w:type="dxa"/>
              <w:bottom w:w="120" w:type="dxa"/>
              <w:right w:w="180" w:type="dxa"/>
            </w:tcMar>
          </w:tcPr>
          <w:p w14:paraId="4BFC0EA5" w14:textId="77777777" w:rsidR="00724F85" w:rsidRPr="00AD445F" w:rsidRDefault="00000000">
            <w:pPr>
              <w:spacing w:after="60"/>
              <w:rPr>
                <w:rFonts w:ascii="SimSun" w:eastAsia="SimSun" w:hAnsi="SimSun"/>
                <w:lang w:eastAsia="zh-CN"/>
              </w:rPr>
            </w:pPr>
            <w:r w:rsidRPr="00AD445F">
              <w:rPr>
                <w:rFonts w:ascii="Aptos" w:eastAsia="Aptos" w:hAnsi="Aptos"/>
                <w:b/>
                <w:color w:val="0F766E"/>
                <w:sz w:val="18"/>
                <w:lang w:eastAsia="zh-CN"/>
              </w:rPr>
              <w:t>Language Discipline</w:t>
            </w:r>
          </w:p>
          <w:p w14:paraId="1FCAA882" w14:textId="77777777" w:rsidR="00724F85" w:rsidRPr="00AD445F" w:rsidRDefault="00724F85">
            <w:pPr>
              <w:spacing w:after="0" w:line="283" w:lineRule="auto"/>
              <w:rPr>
                <w:rFonts w:ascii="SimSun" w:eastAsia="SimSun" w:hAnsi="SimSun"/>
                <w:lang w:eastAsia="zh-CN"/>
              </w:rPr>
            </w:pPr>
          </w:p>
        </w:tc>
      </w:tr>
    </w:tbl>
    <w:p w14:paraId="2CD77AC4" w14:textId="77777777" w:rsidR="00724F85" w:rsidRPr="00AD445F" w:rsidRDefault="00724F85">
      <w:pPr>
        <w:pStyle w:val="WPSmall"/>
        <w:spacing w:after="0"/>
        <w:rPr>
          <w:rFonts w:ascii="SimSun" w:eastAsia="SimSun" w:hAnsi="SimSun"/>
          <w:lang w:eastAsia="zh-CN"/>
        </w:rPr>
      </w:pPr>
    </w:p>
    <w:p w14:paraId="618D790F" w14:textId="77777777" w:rsidR="00724F85" w:rsidRPr="00AD445F" w:rsidRDefault="00000000">
      <w:pPr>
        <w:rPr>
          <w:rFonts w:ascii="SimSun" w:eastAsia="SimSun" w:hAnsi="SimSun"/>
          <w:lang w:eastAsia="zh-CN"/>
        </w:rPr>
      </w:pPr>
      <w:r w:rsidRPr="00AD445F">
        <w:rPr>
          <w:rFonts w:ascii="Aptos" w:eastAsia="Aptos" w:hAnsi="Aptos"/>
          <w:lang w:eastAsia="zh-CN"/>
        </w:rPr>
        <w:br w:type="page"/>
      </w:r>
    </w:p>
    <w:p w14:paraId="0B6A15B6"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PRELIMINARY NOTES</w:t>
      </w:r>
    </w:p>
    <w:p w14:paraId="7FCF91BF"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0.2  v1.1: From Conceptual Framework to a Discussable Protocol Blueprint</w:t>
      </w:r>
    </w:p>
    <w:p w14:paraId="59175A26"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This version retains the core vision of v1.0, but places greater emphasis on why the system is designed this way, how the components work together, and which assumptions must be validated by real market and engineering results.</w:t>
      </w:r>
    </w:p>
    <w:p w14:paraId="6FEA571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What This Version Deepens</w:t>
      </w:r>
    </w:p>
    <w:p w14:paraId="0C1D08A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v1.0 established a clear through-line: users encrypt data locally, the network identifies objects through content commitments, distributed nodes store shards and undergo continuous verification, Solana records critical state, and SOVR coordinates payments, staking, and governance. Building on that foundation, v1.1 addresses four questions readers genuinely care about: how the system avoids simply moving trust from a cloud platform to another centralized Gateway; how storage proofs differ from a truly readable and recoverable data service; how node and token economics can gradually shift from subsidies to real fees; and why SOVRA deserves to exist as a standalone product.</w:t>
      </w:r>
    </w:p>
    <w:p w14:paraId="50E16740"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This version uses a text-led narrative. Architecture, data lifecycle, proof flow, and token allocation are still supported by diagrams because those relationships are materially harder to understand in prose alone. The remaining sections rely primarily on continuous explanation, formulas, and a limited number of necessary tables.</w:t>
      </w:r>
    </w:p>
    <w:p w14:paraId="7242DCC3"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From Architecture Description to a Testable System</w:t>
      </w:r>
    </w:p>
    <w:p w14:paraId="0A1C0EDE"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This revision further develops object state, key recovery, proof disputes, SLA settlement, node admission, and commercialization gates. It also expands SOVR from a simple allocation schedule into a complete economic loop in which issuance, pricing, node operations, protocol revenue, and governance constrain one another. The same principle applies throughout: mechanisms that can be verified are described as mechanisms; unverified assumptions are described as conditions; targets are not presented as accomplished facts.</w:t>
      </w:r>
    </w:p>
    <w:p w14:paraId="71730F0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How to Read the Parts That Are Not Yet Final</w:t>
      </w:r>
    </w:p>
    <w:p w14:paraId="661431B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 early-stage protocol should not create false certainty with artificially precise numbers. How much stake a node needs, how often challenges occur, which k/n erasure-code profile becomes the default, and how much the protocol charges must all depend on benchmarks, failure drills, node costs, and real customer demand. This whitepaper provides decision frameworks and proposed ranges rather than presenting unverified numbers as facts.</w:t>
      </w:r>
    </w:p>
    <w:p w14:paraId="2FC53AB0"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Likewise, SOVRA’s long-term positioning is not “to issue a token,” but to build data infrastructure that applications, nodes, and users can continuously use. Whether SOVR has lasting functional value ultimately depends on whether the network generates real storage and bandwidth demand, and whether those needs require cross-party collateral, settlement, and governance.</w:t>
      </w:r>
    </w:p>
    <w:p w14:paraId="3C6944A9" w14:textId="77777777" w:rsidR="00724F85" w:rsidRPr="00AD445F" w:rsidRDefault="00000000">
      <w:pPr>
        <w:rPr>
          <w:rFonts w:ascii="SimSun" w:eastAsia="SimSun" w:hAnsi="SimSun"/>
          <w:lang w:eastAsia="zh-CN"/>
        </w:rPr>
      </w:pPr>
      <w:r w:rsidRPr="00AD445F">
        <w:rPr>
          <w:rFonts w:ascii="Aptos" w:eastAsia="Aptos" w:hAnsi="Aptos"/>
          <w:lang w:eastAsia="zh-CN"/>
        </w:rPr>
        <w:br w:type="page"/>
      </w:r>
    </w:p>
    <w:p w14:paraId="2D7BCF41"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CONTENTS · I</w:t>
      </w:r>
    </w:p>
    <w:p w14:paraId="01CAAB83"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1   Executive Summary</w:t>
      </w:r>
      <w:r w:rsidRPr="00AD445F">
        <w:rPr>
          <w:rFonts w:ascii="Aptos" w:eastAsia="Aptos" w:hAnsi="Aptos"/>
          <w:b/>
          <w:color w:val="0F766E"/>
          <w:sz w:val="16"/>
          <w:lang w:eastAsia="zh-CN"/>
        </w:rPr>
        <w:tab/>
        <w:t>06–07</w:t>
      </w:r>
    </w:p>
    <w:p w14:paraId="57226B3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1.1   SOVRA’s Core Proposition</w:t>
      </w:r>
      <w:r w:rsidRPr="00AD445F">
        <w:rPr>
          <w:rFonts w:ascii="Aptos" w:eastAsia="Aptos" w:hAnsi="Aptos"/>
          <w:b/>
          <w:color w:val="0F766E"/>
          <w:sz w:val="13"/>
          <w:lang w:eastAsia="zh-CN"/>
        </w:rPr>
        <w:tab/>
        <w:t>06</w:t>
      </w:r>
    </w:p>
    <w:p w14:paraId="5E78511C"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1.2   From Product Demand to a Sustainable Network</w:t>
      </w:r>
      <w:r w:rsidRPr="00AD445F">
        <w:rPr>
          <w:rFonts w:ascii="Aptos" w:eastAsia="Aptos" w:hAnsi="Aptos"/>
          <w:b/>
          <w:color w:val="0F766E"/>
          <w:sz w:val="13"/>
          <w:lang w:eastAsia="zh-CN"/>
        </w:rPr>
        <w:tab/>
        <w:t>07</w:t>
      </w:r>
    </w:p>
    <w:p w14:paraId="48CC8320" w14:textId="77777777" w:rsidR="001400AB" w:rsidRPr="00AD445F" w:rsidRDefault="00000000">
      <w:pPr>
        <w:pBdr>
          <w:bottom w:val="single" w:sz="4" w:space="1" w:color="CCD6E0"/>
        </w:pBdr>
        <w:tabs>
          <w:tab w:val="left" w:pos="9638"/>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2   Vision, Mission, and Design Principles</w:t>
      </w:r>
      <w:r w:rsidRPr="00AD445F">
        <w:rPr>
          <w:rFonts w:ascii="Aptos" w:eastAsia="Aptos" w:hAnsi="Aptos"/>
          <w:b/>
          <w:color w:val="0F766E"/>
          <w:sz w:val="16"/>
          <w:lang w:eastAsia="zh-CN"/>
        </w:rPr>
        <w:tab/>
        <w:t>08</w:t>
      </w:r>
    </w:p>
    <w:p w14:paraId="68CF484D"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2.1   Building the Sovereign Data Layer</w:t>
      </w:r>
      <w:r w:rsidRPr="00AD445F">
        <w:rPr>
          <w:rFonts w:ascii="Aptos" w:eastAsia="Aptos" w:hAnsi="Aptos"/>
          <w:b/>
          <w:color w:val="0F766E"/>
          <w:sz w:val="13"/>
          <w:lang w:eastAsia="zh-CN"/>
        </w:rPr>
        <w:tab/>
        <w:t>08</w:t>
      </w:r>
    </w:p>
    <w:p w14:paraId="73159E77"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3   The Data-Infrastructure Problem</w:t>
      </w:r>
      <w:r w:rsidRPr="00AD445F">
        <w:rPr>
          <w:rFonts w:ascii="Aptos" w:eastAsia="Aptos" w:hAnsi="Aptos"/>
          <w:b/>
          <w:color w:val="0F766E"/>
          <w:sz w:val="16"/>
          <w:lang w:eastAsia="zh-CN"/>
        </w:rPr>
        <w:tab/>
        <w:t>09–11</w:t>
      </w:r>
    </w:p>
    <w:p w14:paraId="1F6D3C0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3.1   Contractual Ownership Is Not System-Level Control</w:t>
      </w:r>
      <w:r w:rsidRPr="00AD445F">
        <w:rPr>
          <w:rFonts w:ascii="Aptos" w:eastAsia="Aptos" w:hAnsi="Aptos"/>
          <w:b/>
          <w:color w:val="0F766E"/>
          <w:sz w:val="13"/>
          <w:lang w:eastAsia="zh-CN"/>
        </w:rPr>
        <w:tab/>
        <w:t>09</w:t>
      </w:r>
    </w:p>
    <w:p w14:paraId="3CA4E20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3.2   Vendor Lock-In and the Real Advantages of Traditional Cloud</w:t>
      </w:r>
      <w:r w:rsidRPr="00AD445F">
        <w:rPr>
          <w:rFonts w:ascii="Aptos" w:eastAsia="Aptos" w:hAnsi="Aptos"/>
          <w:b/>
          <w:color w:val="0F766E"/>
          <w:sz w:val="13"/>
          <w:lang w:eastAsia="zh-CN"/>
        </w:rPr>
        <w:tab/>
        <w:t>09</w:t>
      </w:r>
    </w:p>
    <w:p w14:paraId="1C805906"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3.3   New Requirements for AI, Hot Data, and Regional Infrastructure</w:t>
      </w:r>
      <w:r w:rsidRPr="00AD445F">
        <w:rPr>
          <w:rFonts w:ascii="Aptos" w:eastAsia="Aptos" w:hAnsi="Aptos"/>
          <w:b/>
          <w:color w:val="0F766E"/>
          <w:sz w:val="13"/>
          <w:lang w:eastAsia="zh-CN"/>
        </w:rPr>
        <w:tab/>
        <w:t>10</w:t>
      </w:r>
    </w:p>
    <w:p w14:paraId="02E40849"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rPr>
      </w:pPr>
      <w:r w:rsidRPr="00AD445F">
        <w:rPr>
          <w:rFonts w:ascii="Aptos" w:eastAsia="Aptos" w:hAnsi="Aptos"/>
          <w:b/>
          <w:color w:val="0F766E"/>
          <w:sz w:val="16"/>
        </w:rPr>
        <w:t>Chapter 4   The SOVRA Solution</w:t>
      </w:r>
      <w:r w:rsidRPr="00AD445F">
        <w:rPr>
          <w:rFonts w:ascii="Aptos" w:eastAsia="Aptos" w:hAnsi="Aptos"/>
          <w:b/>
          <w:color w:val="0F766E"/>
          <w:sz w:val="16"/>
        </w:rPr>
        <w:tab/>
        <w:t>12–15</w:t>
      </w:r>
    </w:p>
    <w:p w14:paraId="011E887A" w14:textId="77777777" w:rsidR="001400AB" w:rsidRPr="00AD445F" w:rsidRDefault="00000000">
      <w:pPr>
        <w:tabs>
          <w:tab w:val="left" w:pos="9638"/>
        </w:tabs>
        <w:spacing w:after="0" w:line="240" w:lineRule="auto"/>
        <w:ind w:left="340"/>
        <w:rPr>
          <w:rFonts w:ascii="SimSun" w:eastAsia="SimSun" w:hAnsi="SimSun"/>
        </w:rPr>
      </w:pPr>
      <w:r w:rsidRPr="00AD445F">
        <w:rPr>
          <w:rFonts w:ascii="Aptos" w:eastAsia="Aptos" w:hAnsi="Aptos"/>
          <w:b/>
          <w:color w:val="0F766E"/>
          <w:sz w:val="13"/>
        </w:rPr>
        <w:t>4.1   Storage-as-a-Protocol</w:t>
      </w:r>
      <w:r w:rsidRPr="00AD445F">
        <w:rPr>
          <w:rFonts w:ascii="Aptos" w:eastAsia="Aptos" w:hAnsi="Aptos"/>
          <w:b/>
          <w:color w:val="0F766E"/>
          <w:sz w:val="13"/>
        </w:rPr>
        <w:tab/>
        <w:t>12</w:t>
      </w:r>
    </w:p>
    <w:p w14:paraId="0B666D65" w14:textId="77777777" w:rsidR="001400AB" w:rsidRPr="00AD445F" w:rsidRDefault="00000000">
      <w:pPr>
        <w:tabs>
          <w:tab w:val="left" w:pos="9638"/>
        </w:tabs>
        <w:spacing w:after="0" w:line="240" w:lineRule="auto"/>
        <w:ind w:left="340"/>
        <w:rPr>
          <w:rFonts w:ascii="SimSun" w:eastAsia="SimSun" w:hAnsi="SimSun"/>
        </w:rPr>
      </w:pPr>
      <w:r w:rsidRPr="00AD445F">
        <w:rPr>
          <w:rFonts w:ascii="Aptos" w:eastAsia="Aptos" w:hAnsi="Aptos"/>
          <w:b/>
          <w:color w:val="0F766E"/>
          <w:sz w:val="13"/>
        </w:rPr>
        <w:t>4.2   Separating the Data Plane from the Settlement Plane</w:t>
      </w:r>
      <w:r w:rsidRPr="00AD445F">
        <w:rPr>
          <w:rFonts w:ascii="Aptos" w:eastAsia="Aptos" w:hAnsi="Aptos"/>
          <w:b/>
          <w:color w:val="0F766E"/>
          <w:sz w:val="13"/>
        </w:rPr>
        <w:tab/>
        <w:t>13</w:t>
      </w:r>
    </w:p>
    <w:p w14:paraId="737F6139" w14:textId="77777777" w:rsidR="001400AB" w:rsidRPr="00AD445F" w:rsidRDefault="00000000">
      <w:pPr>
        <w:tabs>
          <w:tab w:val="left" w:pos="9638"/>
        </w:tabs>
        <w:spacing w:after="0" w:line="240" w:lineRule="auto"/>
        <w:ind w:left="340"/>
        <w:rPr>
          <w:rFonts w:ascii="SimSun" w:eastAsia="SimSun" w:hAnsi="SimSun"/>
        </w:rPr>
      </w:pPr>
      <w:r w:rsidRPr="00AD445F">
        <w:rPr>
          <w:rFonts w:ascii="Aptos" w:eastAsia="Aptos" w:hAnsi="Aptos"/>
          <w:b/>
          <w:color w:val="0F766E"/>
          <w:sz w:val="13"/>
        </w:rPr>
        <w:t>4.3   Responsibilities of the Data, Control, and Settlement Planes</w:t>
      </w:r>
      <w:r w:rsidRPr="00AD445F">
        <w:rPr>
          <w:rFonts w:ascii="Aptos" w:eastAsia="Aptos" w:hAnsi="Aptos"/>
          <w:b/>
          <w:color w:val="0F766E"/>
          <w:sz w:val="13"/>
        </w:rPr>
        <w:tab/>
        <w:t>14</w:t>
      </w:r>
    </w:p>
    <w:p w14:paraId="78C1B4DB" w14:textId="77777777" w:rsidR="001400AB" w:rsidRPr="00AD445F" w:rsidRDefault="00000000">
      <w:pPr>
        <w:tabs>
          <w:tab w:val="left" w:pos="9638"/>
        </w:tabs>
        <w:spacing w:after="0" w:line="240" w:lineRule="auto"/>
        <w:ind w:left="340"/>
        <w:rPr>
          <w:rFonts w:ascii="SimSun" w:eastAsia="SimSun" w:hAnsi="SimSun"/>
        </w:rPr>
      </w:pPr>
      <w:r w:rsidRPr="00AD445F">
        <w:rPr>
          <w:rFonts w:ascii="Aptos" w:eastAsia="Aptos" w:hAnsi="Aptos"/>
          <w:b/>
          <w:color w:val="0F766E"/>
          <w:sz w:val="13"/>
        </w:rPr>
        <w:t>4.4   Who Is Trusted, and How Trust Is Reduced</w:t>
      </w:r>
      <w:r w:rsidRPr="00AD445F">
        <w:rPr>
          <w:rFonts w:ascii="Aptos" w:eastAsia="Aptos" w:hAnsi="Aptos"/>
          <w:b/>
          <w:color w:val="0F766E"/>
          <w:sz w:val="13"/>
        </w:rPr>
        <w:tab/>
        <w:t>14</w:t>
      </w:r>
    </w:p>
    <w:p w14:paraId="3A443038"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rPr>
      </w:pPr>
      <w:r w:rsidRPr="00AD445F">
        <w:rPr>
          <w:rFonts w:ascii="Aptos" w:eastAsia="Aptos" w:hAnsi="Aptos"/>
          <w:b/>
          <w:color w:val="0F766E"/>
          <w:sz w:val="16"/>
        </w:rPr>
        <w:t>Chapter 5   Data, Encryption, and Storage Architecture</w:t>
      </w:r>
      <w:r w:rsidRPr="00AD445F">
        <w:rPr>
          <w:rFonts w:ascii="Aptos" w:eastAsia="Aptos" w:hAnsi="Aptos"/>
          <w:b/>
          <w:color w:val="0F766E"/>
          <w:sz w:val="16"/>
        </w:rPr>
        <w:tab/>
        <w:t>16–22</w:t>
      </w:r>
    </w:p>
    <w:p w14:paraId="64FA9528"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5.1   SOVRA Object and the Encrypted Object Manifest</w:t>
      </w:r>
      <w:r w:rsidRPr="00AD445F">
        <w:rPr>
          <w:rFonts w:ascii="Aptos" w:eastAsia="Aptos" w:hAnsi="Aptos"/>
          <w:b/>
          <w:color w:val="0F766E"/>
          <w:sz w:val="13"/>
          <w:lang w:eastAsia="zh-CN"/>
        </w:rPr>
        <w:tab/>
        <w:t>16</w:t>
      </w:r>
    </w:p>
    <w:p w14:paraId="7C38FDF0"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5.2   Object, Authorization, and Replicas Are Three Independent States</w:t>
      </w:r>
      <w:r w:rsidRPr="00AD445F">
        <w:rPr>
          <w:rFonts w:ascii="Aptos" w:eastAsia="Aptos" w:hAnsi="Aptos"/>
          <w:b/>
          <w:color w:val="0F766E"/>
          <w:sz w:val="13"/>
          <w:lang w:eastAsia="zh-CN"/>
        </w:rPr>
        <w:tab/>
        <w:t>17</w:t>
      </w:r>
    </w:p>
    <w:p w14:paraId="3172DB4C"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5.3   From Local Encryption to Verifiable Availability</w:t>
      </w:r>
      <w:r w:rsidRPr="00AD445F">
        <w:rPr>
          <w:rFonts w:ascii="Aptos" w:eastAsia="Aptos" w:hAnsi="Aptos"/>
          <w:b/>
          <w:color w:val="0F766E"/>
          <w:sz w:val="13"/>
          <w:lang w:eastAsia="zh-CN"/>
        </w:rPr>
        <w:tab/>
        <w:t>18</w:t>
      </w:r>
    </w:p>
    <w:p w14:paraId="1E53B6DF"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5.4   Retrieval and Authorization</w:t>
      </w:r>
      <w:r w:rsidRPr="00AD445F">
        <w:rPr>
          <w:rFonts w:ascii="Aptos" w:eastAsia="Aptos" w:hAnsi="Aptos"/>
          <w:b/>
          <w:color w:val="0F766E"/>
          <w:sz w:val="13"/>
          <w:lang w:eastAsia="zh-CN"/>
        </w:rPr>
        <w:tab/>
        <w:t>18</w:t>
      </w:r>
    </w:p>
    <w:p w14:paraId="0C9B4EB3"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5.5   Encryption and the Key Lifecycle</w:t>
      </w:r>
      <w:r w:rsidRPr="00AD445F">
        <w:rPr>
          <w:rFonts w:ascii="Aptos" w:eastAsia="Aptos" w:hAnsi="Aptos"/>
          <w:b/>
          <w:color w:val="0F766E"/>
          <w:sz w:val="13"/>
          <w:lang w:eastAsia="zh-CN"/>
        </w:rPr>
        <w:tab/>
        <w:t>19</w:t>
      </w:r>
    </w:p>
    <w:p w14:paraId="3D26D9A8"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5.6   Content Addressing and Privacy</w:t>
      </w:r>
      <w:r w:rsidRPr="00AD445F">
        <w:rPr>
          <w:rFonts w:ascii="Aptos" w:eastAsia="Aptos" w:hAnsi="Aptos"/>
          <w:b/>
          <w:color w:val="0F766E"/>
          <w:sz w:val="13"/>
          <w:lang w:eastAsia="zh-CN"/>
        </w:rPr>
        <w:tab/>
        <w:t>20</w:t>
      </w:r>
    </w:p>
    <w:p w14:paraId="1678D774"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5.7   Erasure Coding and Durability</w:t>
      </w:r>
      <w:r w:rsidRPr="00AD445F">
        <w:rPr>
          <w:rFonts w:ascii="Aptos" w:eastAsia="Aptos" w:hAnsi="Aptos"/>
          <w:b/>
          <w:color w:val="0F766E"/>
          <w:sz w:val="13"/>
          <w:lang w:eastAsia="zh-CN"/>
        </w:rPr>
        <w:tab/>
        <w:t>21</w:t>
      </w:r>
    </w:p>
    <w:p w14:paraId="34EE3351"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6   Verifiable Storage and Service Quality</w:t>
      </w:r>
      <w:r w:rsidRPr="00AD445F">
        <w:rPr>
          <w:rFonts w:ascii="Aptos" w:eastAsia="Aptos" w:hAnsi="Aptos"/>
          <w:b/>
          <w:color w:val="0F766E"/>
          <w:sz w:val="16"/>
          <w:lang w:eastAsia="zh-CN"/>
        </w:rPr>
        <w:tab/>
        <w:t>23–26</w:t>
      </w:r>
    </w:p>
    <w:p w14:paraId="31336A6A"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6.1   Possession, Retrievability, and Service Quality</w:t>
      </w:r>
      <w:r w:rsidRPr="00AD445F">
        <w:rPr>
          <w:rFonts w:ascii="Aptos" w:eastAsia="Aptos" w:hAnsi="Aptos"/>
          <w:b/>
          <w:color w:val="0F766E"/>
          <w:sz w:val="13"/>
          <w:lang w:eastAsia="zh-CN"/>
        </w:rPr>
        <w:tab/>
        <w:t>23</w:t>
      </w:r>
    </w:p>
    <w:p w14:paraId="1C8642FF"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6.2   Challenges, Responses, and On-Chain Batching</w:t>
      </w:r>
      <w:r w:rsidRPr="00AD445F">
        <w:rPr>
          <w:rFonts w:ascii="Aptos" w:eastAsia="Aptos" w:hAnsi="Aptos"/>
          <w:b/>
          <w:color w:val="0F766E"/>
          <w:sz w:val="13"/>
          <w:lang w:eastAsia="zh-CN"/>
        </w:rPr>
        <w:tab/>
        <w:t>24</w:t>
      </w:r>
    </w:p>
    <w:p w14:paraId="65C4E5FC"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6.3   Detection Probability and Verifier Governance</w:t>
      </w:r>
      <w:r w:rsidRPr="00AD445F">
        <w:rPr>
          <w:rFonts w:ascii="Aptos" w:eastAsia="Aptos" w:hAnsi="Aptos"/>
          <w:b/>
          <w:color w:val="0F766E"/>
          <w:sz w:val="13"/>
          <w:lang w:eastAsia="zh-CN"/>
        </w:rPr>
        <w:tab/>
        <w:t>25</w:t>
      </w:r>
    </w:p>
    <w:p w14:paraId="4DB7DAF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6.4   Retrieval Audits and SLA</w:t>
      </w:r>
      <w:r w:rsidRPr="00AD445F">
        <w:rPr>
          <w:rFonts w:ascii="Aptos" w:eastAsia="Aptos" w:hAnsi="Aptos"/>
          <w:b/>
          <w:color w:val="0F766E"/>
          <w:sz w:val="13"/>
          <w:lang w:eastAsia="zh-CN"/>
        </w:rPr>
        <w:tab/>
        <w:t>26</w:t>
      </w:r>
    </w:p>
    <w:p w14:paraId="215867EA"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7   Node Network and Storage Market</w:t>
      </w:r>
      <w:r w:rsidRPr="00AD445F">
        <w:rPr>
          <w:rFonts w:ascii="Aptos" w:eastAsia="Aptos" w:hAnsi="Aptos"/>
          <w:b/>
          <w:color w:val="0F766E"/>
          <w:sz w:val="16"/>
          <w:lang w:eastAsia="zh-CN"/>
        </w:rPr>
        <w:tab/>
        <w:t>27–30</w:t>
      </w:r>
    </w:p>
    <w:p w14:paraId="57972D3C"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7.1   Different Roles Carry Different Service Responsibilities</w:t>
      </w:r>
      <w:r w:rsidRPr="00AD445F">
        <w:rPr>
          <w:rFonts w:ascii="Aptos" w:eastAsia="Aptos" w:hAnsi="Aptos"/>
          <w:b/>
          <w:color w:val="0F766E"/>
          <w:sz w:val="13"/>
          <w:lang w:eastAsia="zh-CN"/>
        </w:rPr>
        <w:tab/>
        <w:t>27</w:t>
      </w:r>
    </w:p>
    <w:p w14:paraId="5DAF3D9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7.2   Geographic Distribution Must Cross Real Failure Domains</w:t>
      </w:r>
      <w:r w:rsidRPr="00AD445F">
        <w:rPr>
          <w:rFonts w:ascii="Aptos" w:eastAsia="Aptos" w:hAnsi="Aptos"/>
          <w:b/>
          <w:color w:val="0F766E"/>
          <w:sz w:val="13"/>
          <w:lang w:eastAsia="zh-CN"/>
        </w:rPr>
        <w:tab/>
        <w:t>28</w:t>
      </w:r>
    </w:p>
    <w:p w14:paraId="26DAF884"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7.3   Repair, Exit, and Deletion</w:t>
      </w:r>
      <w:r w:rsidRPr="00AD445F">
        <w:rPr>
          <w:rFonts w:ascii="Aptos" w:eastAsia="Aptos" w:hAnsi="Aptos"/>
          <w:b/>
          <w:color w:val="0F766E"/>
          <w:sz w:val="13"/>
          <w:lang w:eastAsia="zh-CN"/>
        </w:rPr>
        <w:tab/>
        <w:t>28</w:t>
      </w:r>
    </w:p>
    <w:p w14:paraId="397CA2F1"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7.4   Service Tiers and the Storage Market</w:t>
      </w:r>
      <w:r w:rsidRPr="00AD445F">
        <w:rPr>
          <w:rFonts w:ascii="Aptos" w:eastAsia="Aptos" w:hAnsi="Aptos"/>
          <w:b/>
          <w:color w:val="0F766E"/>
          <w:sz w:val="13"/>
          <w:lang w:eastAsia="zh-CN"/>
        </w:rPr>
        <w:tab/>
        <w:t>29</w:t>
      </w:r>
    </w:p>
    <w:p w14:paraId="7D83B9DC"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8   Solana Settlement Layer and Developer Ecosystem</w:t>
      </w:r>
      <w:r w:rsidRPr="00AD445F">
        <w:rPr>
          <w:rFonts w:ascii="Aptos" w:eastAsia="Aptos" w:hAnsi="Aptos"/>
          <w:b/>
          <w:color w:val="0F766E"/>
          <w:sz w:val="16"/>
          <w:lang w:eastAsia="zh-CN"/>
        </w:rPr>
        <w:tab/>
        <w:t>31–33</w:t>
      </w:r>
    </w:p>
    <w:p w14:paraId="417E239C"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8.1   On-Chain Commitments, Responsibility, and Fund State</w:t>
      </w:r>
      <w:r w:rsidRPr="00AD445F">
        <w:rPr>
          <w:rFonts w:ascii="Aptos" w:eastAsia="Aptos" w:hAnsi="Aptos"/>
          <w:b/>
          <w:color w:val="0F766E"/>
          <w:sz w:val="13"/>
          <w:lang w:eastAsia="zh-CN"/>
        </w:rPr>
        <w:tab/>
        <w:t>31</w:t>
      </w:r>
    </w:p>
    <w:p w14:paraId="1F28E6B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8.2   The Base Layer Can Be Complex; Integration Must Be Simple</w:t>
      </w:r>
      <w:r w:rsidRPr="00AD445F">
        <w:rPr>
          <w:rFonts w:ascii="Aptos" w:eastAsia="Aptos" w:hAnsi="Aptos"/>
          <w:b/>
          <w:color w:val="0F766E"/>
          <w:sz w:val="13"/>
          <w:lang w:eastAsia="zh-CN"/>
        </w:rPr>
        <w:tab/>
        <w:t>32</w:t>
      </w:r>
    </w:p>
    <w:p w14:paraId="7F2812E2"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9   Security, Privacy, and Responsibility</w:t>
      </w:r>
      <w:r w:rsidRPr="00AD445F">
        <w:rPr>
          <w:rFonts w:ascii="Aptos" w:eastAsia="Aptos" w:hAnsi="Aptos"/>
          <w:b/>
          <w:color w:val="0F766E"/>
          <w:sz w:val="16"/>
          <w:lang w:eastAsia="zh-CN"/>
        </w:rPr>
        <w:tab/>
        <w:t>34–37</w:t>
      </w:r>
    </w:p>
    <w:p w14:paraId="3F69537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9.1   Open Networks Do Not Automatically Eliminate Trust</w:t>
      </w:r>
      <w:r w:rsidRPr="00AD445F">
        <w:rPr>
          <w:rFonts w:ascii="Aptos" w:eastAsia="Aptos" w:hAnsi="Aptos"/>
          <w:b/>
          <w:color w:val="0F766E"/>
          <w:sz w:val="13"/>
          <w:lang w:eastAsia="zh-CN"/>
        </w:rPr>
        <w:tab/>
        <w:t>34</w:t>
      </w:r>
    </w:p>
    <w:p w14:paraId="46B42E0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9.2   Auditing, Monitoring, and Incident Response</w:t>
      </w:r>
      <w:r w:rsidRPr="00AD445F">
        <w:rPr>
          <w:rFonts w:ascii="Aptos" w:eastAsia="Aptos" w:hAnsi="Aptos"/>
          <w:b/>
          <w:color w:val="0F766E"/>
          <w:sz w:val="13"/>
          <w:lang w:eastAsia="zh-CN"/>
        </w:rPr>
        <w:tab/>
        <w:t>34</w:t>
      </w:r>
    </w:p>
    <w:p w14:paraId="0956EA63"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9.3   Immutable Commitments and Data Protection</w:t>
      </w:r>
      <w:r w:rsidRPr="00AD445F">
        <w:rPr>
          <w:rFonts w:ascii="Aptos" w:eastAsia="Aptos" w:hAnsi="Aptos"/>
          <w:b/>
          <w:color w:val="0F766E"/>
          <w:sz w:val="13"/>
          <w:lang w:eastAsia="zh-CN"/>
        </w:rPr>
        <w:tab/>
        <w:t>36</w:t>
      </w:r>
    </w:p>
    <w:p w14:paraId="666A86A5"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9.4   Content Governance and Legal Responsibility</w:t>
      </w:r>
      <w:r w:rsidRPr="00AD445F">
        <w:rPr>
          <w:rFonts w:ascii="Aptos" w:eastAsia="Aptos" w:hAnsi="Aptos"/>
          <w:b/>
          <w:color w:val="0F766E"/>
          <w:sz w:val="13"/>
          <w:lang w:eastAsia="zh-CN"/>
        </w:rPr>
        <w:tab/>
        <w:t>37</w:t>
      </w:r>
    </w:p>
    <w:p w14:paraId="1FBC4800"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10   Competitive Landscape and Market Positioning</w:t>
      </w:r>
      <w:r w:rsidRPr="00AD445F">
        <w:rPr>
          <w:rFonts w:ascii="Aptos" w:eastAsia="Aptos" w:hAnsi="Aptos"/>
          <w:b/>
          <w:color w:val="0F766E"/>
          <w:sz w:val="16"/>
          <w:lang w:eastAsia="zh-CN"/>
        </w:rPr>
        <w:tab/>
        <w:t>38–40</w:t>
      </w:r>
    </w:p>
    <w:p w14:paraId="1522FC9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10.1   Decentralized Storage Is Not a Single Product Category</w:t>
      </w:r>
      <w:r w:rsidRPr="00AD445F">
        <w:rPr>
          <w:rFonts w:ascii="Aptos" w:eastAsia="Aptos" w:hAnsi="Aptos"/>
          <w:b/>
          <w:color w:val="0F766E"/>
          <w:sz w:val="13"/>
          <w:lang w:eastAsia="zh-CN"/>
        </w:rPr>
        <w:tab/>
        <w:t>38</w:t>
      </w:r>
    </w:p>
    <w:p w14:paraId="7A412FD4"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10.2   High-Level Capability Comparison</w:t>
      </w:r>
      <w:r w:rsidRPr="00AD445F">
        <w:rPr>
          <w:rFonts w:ascii="Aptos" w:eastAsia="Aptos" w:hAnsi="Aptos"/>
          <w:b/>
          <w:color w:val="0F766E"/>
          <w:sz w:val="13"/>
          <w:lang w:eastAsia="zh-CN"/>
        </w:rPr>
        <w:tab/>
        <w:t>38</w:t>
      </w:r>
    </w:p>
    <w:p w14:paraId="31D4C556"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10.3   Positioning as a Sovereign Data Service Layer</w:t>
      </w:r>
      <w:r w:rsidRPr="00AD445F">
        <w:rPr>
          <w:rFonts w:ascii="Aptos" w:eastAsia="Aptos" w:hAnsi="Aptos"/>
          <w:b/>
          <w:color w:val="0F766E"/>
          <w:sz w:val="13"/>
          <w:lang w:eastAsia="zh-CN"/>
        </w:rPr>
        <w:tab/>
        <w:t>39</w:t>
      </w:r>
    </w:p>
    <w:p w14:paraId="4AA34EAE"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11   Use Cases and Go-to-Market</w:t>
      </w:r>
      <w:r w:rsidRPr="00AD445F">
        <w:rPr>
          <w:rFonts w:ascii="Aptos" w:eastAsia="Aptos" w:hAnsi="Aptos"/>
          <w:b/>
          <w:color w:val="0F766E"/>
          <w:sz w:val="16"/>
          <w:lang w:eastAsia="zh-CN"/>
        </w:rPr>
        <w:tab/>
        <w:t>41–44</w:t>
      </w:r>
    </w:p>
    <w:p w14:paraId="760E4C43"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11.1   AI Agent Memory</w:t>
      </w:r>
      <w:r w:rsidRPr="00AD445F">
        <w:rPr>
          <w:rFonts w:ascii="Aptos" w:eastAsia="Aptos" w:hAnsi="Aptos"/>
          <w:b/>
          <w:color w:val="0F766E"/>
          <w:sz w:val="13"/>
          <w:lang w:eastAsia="zh-CN"/>
        </w:rPr>
        <w:tab/>
        <w:t>41</w:t>
      </w:r>
    </w:p>
    <w:p w14:paraId="1D90AB7D"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11.2   Web3 Applications, Games, and User Content</w:t>
      </w:r>
      <w:r w:rsidRPr="00AD445F">
        <w:rPr>
          <w:rFonts w:ascii="Aptos" w:eastAsia="Aptos" w:hAnsi="Aptos"/>
          <w:b/>
          <w:color w:val="0F766E"/>
          <w:sz w:val="13"/>
          <w:lang w:eastAsia="zh-CN"/>
        </w:rPr>
        <w:tab/>
        <w:t>42</w:t>
      </w:r>
    </w:p>
    <w:p w14:paraId="520FABB5"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11.3   Enterprise Backup, Personal Cloud, and Regional Edge</w:t>
      </w:r>
      <w:r w:rsidRPr="00AD445F">
        <w:rPr>
          <w:rFonts w:ascii="Aptos" w:eastAsia="Aptos" w:hAnsi="Aptos"/>
          <w:b/>
          <w:color w:val="0F766E"/>
          <w:sz w:val="13"/>
          <w:lang w:eastAsia="zh-CN"/>
        </w:rPr>
        <w:tab/>
        <w:t>42</w:t>
      </w:r>
    </w:p>
    <w:p w14:paraId="3E3B1BAA"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11.4   From Design Partners to Repeatable Sales</w:t>
      </w:r>
      <w:r w:rsidRPr="00AD445F">
        <w:rPr>
          <w:rFonts w:ascii="Aptos" w:eastAsia="Aptos" w:hAnsi="Aptos"/>
          <w:b/>
          <w:color w:val="0F766E"/>
          <w:sz w:val="13"/>
          <w:lang w:eastAsia="zh-CN"/>
        </w:rPr>
        <w:tab/>
        <w:t>43</w:t>
      </w:r>
    </w:p>
    <w:p w14:paraId="7CA12B96"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12   SOVR and Network Economics</w:t>
      </w:r>
      <w:r w:rsidRPr="00AD445F">
        <w:rPr>
          <w:rFonts w:ascii="Aptos" w:eastAsia="Aptos" w:hAnsi="Aptos"/>
          <w:b/>
          <w:color w:val="0F766E"/>
          <w:sz w:val="16"/>
          <w:lang w:eastAsia="zh-CN"/>
        </w:rPr>
        <w:tab/>
        <w:t>45–51</w:t>
      </w:r>
    </w:p>
    <w:p w14:paraId="4E1209BC"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12.1   The Token Is a Coordination Asset, Not the Product Itself</w:t>
      </w:r>
      <w:r w:rsidRPr="00AD445F">
        <w:rPr>
          <w:rFonts w:ascii="Aptos" w:eastAsia="Aptos" w:hAnsi="Aptos"/>
          <w:b/>
          <w:color w:val="0F766E"/>
          <w:sz w:val="13"/>
          <w:lang w:eastAsia="zh-CN"/>
        </w:rPr>
        <w:tab/>
        <w:t>45</w:t>
      </w:r>
    </w:p>
    <w:p w14:paraId="250C4EE2"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12.2   Fixed Cap and Proposed Allocation</w:t>
      </w:r>
      <w:r w:rsidRPr="00AD445F">
        <w:rPr>
          <w:rFonts w:ascii="Aptos" w:eastAsia="Aptos" w:hAnsi="Aptos"/>
          <w:b/>
          <w:color w:val="0F766E"/>
          <w:sz w:val="13"/>
          <w:lang w:eastAsia="zh-CN"/>
        </w:rPr>
        <w:tab/>
        <w:t>46</w:t>
      </w:r>
    </w:p>
    <w:p w14:paraId="643B08EB"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12.3   Issuance, Unlocking, and Circulation Discipline</w:t>
      </w:r>
      <w:r w:rsidRPr="00AD445F">
        <w:rPr>
          <w:rFonts w:ascii="Aptos" w:eastAsia="Aptos" w:hAnsi="Aptos"/>
          <w:b/>
          <w:color w:val="0F766E"/>
          <w:sz w:val="13"/>
          <w:lang w:eastAsia="zh-CN"/>
        </w:rPr>
        <w:tab/>
        <w:t>47</w:t>
      </w:r>
    </w:p>
    <w:p w14:paraId="47D210E3"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12.4   Stable Pricing and Service Settlement</w:t>
      </w:r>
      <w:r w:rsidRPr="00AD445F">
        <w:rPr>
          <w:rFonts w:ascii="Aptos" w:eastAsia="Aptos" w:hAnsi="Aptos"/>
          <w:b/>
          <w:color w:val="0F766E"/>
          <w:sz w:val="13"/>
          <w:lang w:eastAsia="zh-CN"/>
        </w:rPr>
        <w:tab/>
        <w:t>48</w:t>
      </w:r>
    </w:p>
    <w:p w14:paraId="60DEB56C"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12.5   Node Unit Economics and Subsidy Tapering</w:t>
      </w:r>
      <w:r w:rsidRPr="00AD445F">
        <w:rPr>
          <w:rFonts w:ascii="Aptos" w:eastAsia="Aptos" w:hAnsi="Aptos"/>
          <w:b/>
          <w:color w:val="0F766E"/>
          <w:sz w:val="13"/>
          <w:lang w:eastAsia="zh-CN"/>
        </w:rPr>
        <w:tab/>
        <w:t>48</w:t>
      </w:r>
    </w:p>
    <w:p w14:paraId="5AE2CBB8"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12.6   Protocol Revenue, Treasury, and Progressive Governance</w:t>
      </w:r>
      <w:r w:rsidRPr="00AD445F">
        <w:rPr>
          <w:rFonts w:ascii="Aptos" w:eastAsia="Aptos" w:hAnsi="Aptos"/>
          <w:b/>
          <w:color w:val="0F766E"/>
          <w:sz w:val="13"/>
          <w:lang w:eastAsia="zh-CN"/>
        </w:rPr>
        <w:tab/>
        <w:t>49</w:t>
      </w:r>
    </w:p>
    <w:p w14:paraId="49AE49BB" w14:textId="77777777" w:rsidR="001400AB" w:rsidRPr="00AD445F" w:rsidRDefault="00000000" w:rsidP="00AD4A06">
      <w:pPr>
        <w:pBdr>
          <w:bottom w:val="single" w:sz="4" w:space="1" w:color="CCD6E0"/>
        </w:pBdr>
        <w:tabs>
          <w:tab w:val="left" w:pos="9559"/>
        </w:tabs>
        <w:spacing w:before="60" w:after="20" w:line="240" w:lineRule="auto"/>
        <w:rPr>
          <w:rFonts w:ascii="SimSun" w:eastAsia="SimSun" w:hAnsi="SimSun"/>
          <w:lang w:eastAsia="zh-CN"/>
        </w:rPr>
      </w:pPr>
      <w:r w:rsidRPr="00AD445F">
        <w:rPr>
          <w:rFonts w:ascii="Aptos" w:eastAsia="Aptos" w:hAnsi="Aptos"/>
          <w:b/>
          <w:color w:val="0F766E"/>
          <w:sz w:val="16"/>
          <w:lang w:eastAsia="zh-CN"/>
        </w:rPr>
        <w:t>Chapter 13   Roadmap, Risks, and Conclusion</w:t>
      </w:r>
      <w:r w:rsidRPr="00AD445F">
        <w:rPr>
          <w:rFonts w:ascii="Aptos" w:eastAsia="Aptos" w:hAnsi="Aptos"/>
          <w:b/>
          <w:color w:val="0F766E"/>
          <w:sz w:val="16"/>
          <w:lang w:eastAsia="zh-CN"/>
        </w:rPr>
        <w:tab/>
        <w:t>52–53</w:t>
      </w:r>
    </w:p>
    <w:p w14:paraId="3E4F5663"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13.1   Advancing the Roadmap Through Acceptance Gates</w:t>
      </w:r>
      <w:r w:rsidRPr="00AD445F">
        <w:rPr>
          <w:rFonts w:ascii="Aptos" w:eastAsia="Aptos" w:hAnsi="Aptos"/>
          <w:b/>
          <w:color w:val="0F766E"/>
          <w:sz w:val="13"/>
          <w:lang w:eastAsia="zh-CN"/>
        </w:rPr>
        <w:tab/>
        <w:t>52</w:t>
      </w:r>
    </w:p>
    <w:p w14:paraId="04B1EA70"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13.2   Core Risks and Mitigation Directions</w:t>
      </w:r>
      <w:r w:rsidRPr="00AD445F">
        <w:rPr>
          <w:rFonts w:ascii="Aptos" w:eastAsia="Aptos" w:hAnsi="Aptos"/>
          <w:b/>
          <w:color w:val="0F766E"/>
          <w:sz w:val="13"/>
          <w:lang w:eastAsia="zh-CN"/>
        </w:rPr>
        <w:tab/>
        <w:t>53</w:t>
      </w:r>
    </w:p>
    <w:p w14:paraId="387B6F54" w14:textId="77777777" w:rsidR="001400AB" w:rsidRPr="00AD445F" w:rsidRDefault="00000000">
      <w:pPr>
        <w:pBdr>
          <w:bottom w:val="single" w:sz="4" w:space="1" w:color="CCD6E0"/>
        </w:pBdr>
        <w:tabs>
          <w:tab w:val="left" w:pos="9638"/>
        </w:tabs>
        <w:spacing w:before="60" w:after="20" w:line="240" w:lineRule="auto"/>
        <w:rPr>
          <w:rFonts w:ascii="SimSun" w:eastAsia="SimSun" w:hAnsi="SimSun"/>
          <w:lang w:eastAsia="zh-CN"/>
        </w:rPr>
      </w:pPr>
      <w:r w:rsidRPr="00AD445F">
        <w:rPr>
          <w:rFonts w:ascii="Aptos" w:eastAsia="Aptos" w:hAnsi="Aptos"/>
          <w:b/>
          <w:color w:val="0F766E"/>
          <w:sz w:val="16"/>
          <w:lang w:eastAsia="zh-CN"/>
        </w:rPr>
        <w:t>Appendix A   Standards, Protocol Documents, and Further Reading</w:t>
      </w:r>
      <w:r w:rsidRPr="00AD445F">
        <w:rPr>
          <w:rFonts w:ascii="Aptos" w:eastAsia="Aptos" w:hAnsi="Aptos"/>
          <w:b/>
          <w:color w:val="0F766E"/>
          <w:sz w:val="16"/>
          <w:lang w:eastAsia="zh-CN"/>
        </w:rPr>
        <w:tab/>
        <w:t>54</w:t>
      </w:r>
    </w:p>
    <w:p w14:paraId="726ABC89" w14:textId="77777777" w:rsidR="001400AB" w:rsidRPr="00AD445F" w:rsidRDefault="00000000">
      <w:pPr>
        <w:tabs>
          <w:tab w:val="left" w:pos="9638"/>
        </w:tabs>
        <w:spacing w:after="0" w:line="240" w:lineRule="auto"/>
        <w:ind w:left="340"/>
        <w:rPr>
          <w:rFonts w:ascii="SimSun" w:eastAsia="SimSun" w:hAnsi="SimSun"/>
          <w:lang w:eastAsia="zh-CN"/>
        </w:rPr>
      </w:pPr>
      <w:r w:rsidRPr="00AD445F">
        <w:rPr>
          <w:rFonts w:ascii="Aptos" w:eastAsia="Aptos" w:hAnsi="Aptos"/>
          <w:b/>
          <w:color w:val="0F766E"/>
          <w:sz w:val="13"/>
          <w:lang w:eastAsia="zh-CN"/>
        </w:rPr>
        <w:t>A.1   References</w:t>
      </w:r>
      <w:r w:rsidRPr="00AD445F">
        <w:rPr>
          <w:rFonts w:ascii="Aptos" w:eastAsia="Aptos" w:hAnsi="Aptos"/>
          <w:b/>
          <w:color w:val="0F766E"/>
          <w:sz w:val="13"/>
          <w:lang w:eastAsia="zh-CN"/>
        </w:rPr>
        <w:tab/>
        <w:t>54</w:t>
      </w:r>
    </w:p>
    <w:p w14:paraId="03CFB781" w14:textId="77777777" w:rsidR="00724F85" w:rsidRPr="00AD445F" w:rsidRDefault="00000000">
      <w:pPr>
        <w:rPr>
          <w:rFonts w:ascii="SimSun" w:eastAsia="SimSun" w:hAnsi="SimSun"/>
          <w:lang w:eastAsia="zh-CN"/>
        </w:rPr>
      </w:pPr>
      <w:r w:rsidRPr="00AD445F">
        <w:rPr>
          <w:rFonts w:ascii="Aptos" w:eastAsia="Aptos" w:hAnsi="Aptos"/>
          <w:lang w:eastAsia="zh-CN"/>
        </w:rPr>
        <w:br w:type="page"/>
      </w:r>
    </w:p>
    <w:p w14:paraId="52BF7A59"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1 · EXECUTIVE SUMMARY</w:t>
      </w:r>
    </w:p>
    <w:p w14:paraId="16C581CD"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1.1  SOVRA’s Core Proposition</w:t>
      </w:r>
    </w:p>
    <w:p w14:paraId="3211444E"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Data sovereignty is not moving a file from one platform to another. It is giving users real control over keys, authorization, service providers, and migration paths.</w:t>
      </w:r>
    </w:p>
    <w:p w14:paraId="5B762BF7"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Why a New Data Layer Is Needed</w:t>
      </w:r>
    </w:p>
    <w:p w14:paraId="5F81957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Most digital life today is built on centralized cloud services. Centralized cloud delivers mature engineering capabilities, but it also concentrates accounts, interfaces, permissions, billing, and service availability in a small number of platforms. Users may own their data contractually without technically retaining the ability to keep accessing, verifying, and migrating that data after leaving a platform. As AI Agents, Web3 applications, games, and personal data spaces accumulate long-term memory, this dependency shifts from an operational choice into a genuine control-rights issue.</w:t>
      </w:r>
    </w:p>
    <w:p w14:paraId="094F13C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does not begin by rejecting traditional cloud. It adds an infrastructure layer for workloads that require data sovereignty, verifiability, cross-provider migration, and wallet-native authorization. Traditional clouds, regional nodes, and independent operators can all contribute supply, while client-side encryption, content commitments, erasure coding, storage proofs, and open settlement reduce dependency on any single party.</w:t>
      </w:r>
    </w:p>
    <w:p w14:paraId="39B6793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How the System Works</w:t>
      </w:r>
    </w:p>
    <w:p w14:paraId="2854BDC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Data is authenticated and encrypted before it leaves the user’s device. Ciphertext is chunked, encoded, and committed in a verifiable form, then distributed across multiple nodes according to price, region, reliability, and failure domain. Nodes do more than acknowledge receipt at upload time: throughout the contract they must answer unpredictable challenges and undergo independent retrieval audits. When nodes fail, a repair controller rebuilds redundancy from the shards that remain valid.</w:t>
      </w:r>
    </w:p>
    <w:p w14:paraId="56010E6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Solana records node registration, contract commitments, batched proof summaries, escrow settlement, and governance state. Raw files, detailed proofs, and high-frequency telemetry remain off-chain. This preserves on-chain auditability without making storage throughput and cost scale linearly with file size.</w:t>
      </w:r>
    </w:p>
    <w:tbl>
      <w:tblPr>
        <w:tblW w:w="0" w:type="auto"/>
        <w:jc w:val="center"/>
        <w:tblLayout w:type="fixed"/>
        <w:tblLook w:val="04A0" w:firstRow="1" w:lastRow="0" w:firstColumn="1" w:lastColumn="0" w:noHBand="0" w:noVBand="1"/>
      </w:tblPr>
      <w:tblGrid>
        <w:gridCol w:w="10092"/>
      </w:tblGrid>
      <w:tr w:rsidR="00724F85" w:rsidRPr="00AD445F" w14:paraId="2854B5DB" w14:textId="77777777">
        <w:trPr>
          <w:jc w:val="center"/>
        </w:trPr>
        <w:tc>
          <w:tcPr>
            <w:tcW w:w="10092" w:type="dxa"/>
            <w:shd w:val="clear" w:color="auto" w:fill="E1F5F0"/>
            <w:tcMar>
              <w:top w:w="120" w:type="dxa"/>
              <w:left w:w="180" w:type="dxa"/>
              <w:bottom w:w="120" w:type="dxa"/>
              <w:right w:w="180" w:type="dxa"/>
            </w:tcMar>
          </w:tcPr>
          <w:p w14:paraId="0192451C" w14:textId="77777777" w:rsidR="00724F85" w:rsidRPr="00AD445F" w:rsidRDefault="00000000">
            <w:pPr>
              <w:spacing w:after="60"/>
              <w:rPr>
                <w:rFonts w:ascii="SimSun" w:eastAsia="SimSun" w:hAnsi="SimSun"/>
                <w:lang w:eastAsia="zh-CN"/>
              </w:rPr>
            </w:pPr>
            <w:r w:rsidRPr="00AD445F">
              <w:rPr>
                <w:rFonts w:ascii="Aptos" w:eastAsia="Aptos" w:hAnsi="Aptos"/>
                <w:b/>
                <w:color w:val="0F766E"/>
                <w:sz w:val="18"/>
                <w:lang w:eastAsia="zh-CN"/>
              </w:rPr>
              <w:t>In One Sentence</w:t>
            </w:r>
          </w:p>
          <w:p w14:paraId="637205C8" w14:textId="77777777" w:rsidR="00724F85" w:rsidRPr="00AD445F" w:rsidRDefault="00724F85">
            <w:pPr>
              <w:spacing w:after="0" w:line="283" w:lineRule="auto"/>
              <w:rPr>
                <w:rFonts w:ascii="SimSun" w:eastAsia="SimSun" w:hAnsi="SimSun"/>
                <w:lang w:eastAsia="zh-CN"/>
              </w:rPr>
            </w:pPr>
          </w:p>
        </w:tc>
      </w:tr>
    </w:tbl>
    <w:p w14:paraId="54D15C96" w14:textId="77777777" w:rsidR="00724F85" w:rsidRPr="00AD445F" w:rsidRDefault="00724F85">
      <w:pPr>
        <w:pStyle w:val="WPSmall"/>
        <w:spacing w:after="0"/>
        <w:rPr>
          <w:rFonts w:ascii="SimSun" w:eastAsia="SimSun" w:hAnsi="SimSun"/>
          <w:lang w:eastAsia="zh-CN"/>
        </w:rPr>
      </w:pPr>
    </w:p>
    <w:p w14:paraId="7ED9D203"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The Value Chain Must Close End to End</w:t>
      </w:r>
    </w:p>
    <w:p w14:paraId="055AB009"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SOVRA only becomes a complete product when three links work at the same time: users can write and read at an acceptable cost; nodes can cover resource and operating costs from real services; and the protocol can settle, repair, and assign accountability using verifiable evidence. If any link depends indefinitely on manual subsidy or centralized rescue, the system returns to single-point trust.</w:t>
      </w:r>
    </w:p>
    <w:p w14:paraId="031FEED0"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network should therefore launch in the order of demand validation, controlled supply, observable service, and economic scaling. It should not expand token circulation and committed capacity first and simply wait for demand to appear. Supply only matters when it is matched to paid data, retrieval traffic, and regional demand.</w:t>
      </w:r>
    </w:p>
    <w:p w14:paraId="7B19551C"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1.2  From Product Demand to a Sustainable Network</w:t>
      </w:r>
    </w:p>
    <w:p w14:paraId="15E3122E"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SOVRA’s first objective is to build a data service that developers actually adopt; tokens, nodes, and governance exist to serve that objective.</w:t>
      </w:r>
    </w:p>
    <w:p w14:paraId="433D349F"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Initial Product Wedge</w:t>
      </w:r>
    </w:p>
    <w:p w14:paraId="1E187D4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 xml:space="preserve">SOVRA should initially target development teams that need encrypted object storage, wallet or OIDC authorization, relatively frequent reads, and verifiable receipts. AI Agent Memory, Solana application data, Web3 game content, and </w:t>
      </w:r>
      <w:r w:rsidRPr="00AD445F">
        <w:rPr>
          <w:rFonts w:ascii="Aptos" w:eastAsia="Aptos" w:hAnsi="Aptos"/>
          <w:lang w:eastAsia="zh-CN"/>
        </w:rPr>
        <w:lastRenderedPageBreak/>
        <w:t>verifiable backup are more concrete early directions than “replacing cloud storage altogether.” These customers can quickly reveal whether the SDK experience, retrieval performance, migration path, and cost structure are actually viable.</w:t>
      </w:r>
    </w:p>
    <w:p w14:paraId="2C8B95A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Regional strategy must likewise begin with specific service-quality outcomes. Southeast Asia, Latin America, and Africa are not abstract marketing labels. Regionalization only becomes a product advantage when local nodes materially reduce latency, cross-continent egress cost, or compliance friction. SOVRA should first build high-quality supply in a limited number of cities and developer communities before expanding the total node count.</w:t>
      </w:r>
    </w:p>
    <w:p w14:paraId="01F9786C"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Economics and Governance</w:t>
      </w:r>
    </w:p>
    <w:p w14:paraId="5A8D7CA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 is used to pay for network services, collateralize node performance, reward verifiable supply, participate in governance, and support ecosystem public goods. Early network supply can be bootstrapped with issuance budgets, but long-term node revenue must progressively come from storage, retrieval, bandwidth, and enterprise-service fees. A storage network that depends permanently on new token emissions does not become sustainable simply because it has many nodes.</w:t>
      </w:r>
    </w:p>
    <w:p w14:paraId="00F4266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network follows progressive decentralization. In the early stage, the core team must take explicit responsibility for code, security upgrades, and risk parameters. As the protocol stabilizes, nodes diversify, and governance participation matures, parameters, Treasury decisions, and ecosystem budgets can gradually move to public proposals and on-chain governance. Decentralization does not mean hiding controllers on day one; it means making the scope, duration, and exit path of control visible.</w:t>
      </w:r>
    </w:p>
    <w:p w14:paraId="31731BEF"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Success Criteria</w:t>
      </w:r>
    </w:p>
    <w:p w14:paraId="28036EB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SOVRA’s success is not defined by wallet registrations, community size, committed capacity, or token trading volume. It is defined by a combination of real paid data volume, retrieval success rate, failure-repair time, node utilization, fee coverage, and customer retention. The network must be able to prove that data exists and also that it can be recovered in time when needed.</w:t>
      </w:r>
    </w:p>
    <w:p w14:paraId="26BB9ED1" w14:textId="77777777" w:rsidR="00724F85" w:rsidRPr="00AD445F" w:rsidRDefault="00000000">
      <w:pPr>
        <w:rPr>
          <w:rFonts w:ascii="SimSun" w:eastAsia="SimSun" w:hAnsi="SimSun"/>
          <w:lang w:eastAsia="zh-CN"/>
        </w:rPr>
      </w:pPr>
      <w:r w:rsidRPr="00AD445F">
        <w:rPr>
          <w:rFonts w:ascii="Aptos" w:eastAsia="Aptos" w:hAnsi="Aptos"/>
          <w:lang w:eastAsia="zh-CN"/>
        </w:rPr>
        <w:br w:type="page"/>
      </w:r>
    </w:p>
    <w:p w14:paraId="06C86D77"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2 · VISION AND PRINCIPLES</w:t>
      </w:r>
    </w:p>
    <w:p w14:paraId="521C2C88"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2.1  Building the Sovereign Data Layer</w:t>
      </w:r>
    </w:p>
    <w:p w14:paraId="1DE54BBE"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 aims to turn data ownership from a legal statement into a technical capability that users can exercise directly.</w:t>
      </w:r>
    </w:p>
    <w:p w14:paraId="00976A3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Vision and Mission</w:t>
      </w:r>
    </w:p>
    <w:p w14:paraId="4BD3015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SOVRA’s vision is to build a globally accessible sovereign data layer. Individuals can control their encrypted files and long-term digital memory; developers can access a distributed network as easily as object storage; organizations can choose the regions, operators, and service levels where their data resides; and node operators can earn revenue by providing real, verifiable storage and bandwidth.</w:t>
      </w:r>
    </w:p>
    <w:p w14:paraId="78E86C3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This vision contains four practical capabilities. First, users control keys and access rights. Second, data can be independently verified rather than trusted solely through provider reports. Third, applications can migrate objects, manifests, and permissions without being permanently locked to proprietary interfaces. Fourth, the network can coordinate pricing, responsibility, payment, and repair across multiple operating entities.</w:t>
      </w:r>
    </w:p>
    <w:p w14:paraId="078D0D1F"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Seven Design Principles</w:t>
      </w:r>
    </w:p>
    <w:p w14:paraId="493D112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User sovereignty means keys are controlled by the user, a device secure enclave, or an enterprise KMS of the user’s choice by default. Verifiable service means “the data is stored,” “the data can be recovered,” and “reads are fast enough” must be measured separately. On-chain minimization means only small states requiring consensus are written to Solana. Open supply means nodes may compete to provide service, but they must accept staking, auditing, scoring, and exit rules.</w:t>
      </w:r>
    </w:p>
    <w:p w14:paraId="46C7525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Developer-first means APIs, SDKs, S3 compatibility, error diagnostics, and migration tools matter as much as the underlying cryptography. Regional-first means establishing local serviceability before pursuing a global node count that cannot deliver. Pragmatism means SOVRA supports dual writing with traditional cloud, hybrid deployment, and failback; customers are not required to abandon existing infrastructure all at once.</w:t>
      </w:r>
    </w:p>
    <w:tbl>
      <w:tblPr>
        <w:tblW w:w="0" w:type="auto"/>
        <w:jc w:val="center"/>
        <w:tblLayout w:type="fixed"/>
        <w:tblLook w:val="04A0" w:firstRow="1" w:lastRow="0" w:firstColumn="1" w:lastColumn="0" w:noHBand="0" w:noVBand="1"/>
      </w:tblPr>
      <w:tblGrid>
        <w:gridCol w:w="10092"/>
      </w:tblGrid>
      <w:tr w:rsidR="00724F85" w:rsidRPr="00AD445F" w14:paraId="166C1A0D" w14:textId="77777777">
        <w:trPr>
          <w:jc w:val="center"/>
        </w:trPr>
        <w:tc>
          <w:tcPr>
            <w:tcW w:w="10092" w:type="dxa"/>
            <w:shd w:val="clear" w:color="auto" w:fill="E1F5F0"/>
            <w:tcMar>
              <w:top w:w="120" w:type="dxa"/>
              <w:left w:w="180" w:type="dxa"/>
              <w:bottom w:w="120" w:type="dxa"/>
              <w:right w:w="180" w:type="dxa"/>
            </w:tcMar>
          </w:tcPr>
          <w:p w14:paraId="67AFB424" w14:textId="77777777" w:rsidR="00724F85" w:rsidRPr="00AD445F" w:rsidRDefault="00000000">
            <w:pPr>
              <w:spacing w:after="60"/>
              <w:rPr>
                <w:rFonts w:ascii="SimSun" w:eastAsia="SimSun" w:hAnsi="SimSun"/>
                <w:lang w:eastAsia="zh-CN"/>
              </w:rPr>
            </w:pPr>
            <w:r w:rsidRPr="00AD445F">
              <w:rPr>
                <w:rFonts w:ascii="Aptos" w:eastAsia="Aptos" w:hAnsi="Aptos"/>
                <w:b/>
                <w:color w:val="0F766E"/>
                <w:sz w:val="18"/>
                <w:lang w:eastAsia="zh-CN"/>
              </w:rPr>
              <w:t>Brand Principle</w:t>
            </w:r>
          </w:p>
          <w:p w14:paraId="5A9EBAAB" w14:textId="77777777" w:rsidR="00724F85" w:rsidRPr="00AD445F" w:rsidRDefault="00724F85">
            <w:pPr>
              <w:spacing w:after="0" w:line="283" w:lineRule="auto"/>
              <w:rPr>
                <w:rFonts w:ascii="SimSun" w:eastAsia="SimSun" w:hAnsi="SimSun"/>
                <w:lang w:eastAsia="zh-CN"/>
              </w:rPr>
            </w:pPr>
          </w:p>
        </w:tc>
      </w:tr>
    </w:tbl>
    <w:p w14:paraId="4C3015BA" w14:textId="77777777" w:rsidR="001400AB" w:rsidRPr="00AD445F" w:rsidRDefault="00000000" w:rsidP="00AD445F">
      <w:pPr>
        <w:pStyle w:val="WPH2"/>
        <w:keepNext/>
        <w:rPr>
          <w:rFonts w:ascii="SimSun" w:eastAsia="SimSun" w:hAnsi="SimSun"/>
          <w:lang w:eastAsia="zh-CN"/>
        </w:rPr>
      </w:pPr>
      <w:r w:rsidRPr="00AD445F">
        <w:rPr>
          <w:rFonts w:ascii="Aptos" w:eastAsia="Aptos" w:hAnsi="Aptos" w:cs="SimSun" w:hint="eastAsia"/>
          <w:szCs w:val="24"/>
          <w:lang w:eastAsia="zh-CN"/>
        </w:rPr>
        <w:t>Design Boundaries and Non-Goals</w:t>
      </w:r>
    </w:p>
    <w:p w14:paraId="6BBE5277"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SOVRA is not a general-purpose compute chain. It does not write large files to the blockchain and does not, by default, promise permanent preservation, absolute anonymity, or zero-cost service. It focuses on encrypted objects, verifiable storage, controlled authorization, regional retrieval, and cross-party settlement. Compute, databases, and application business logic may continue to run in cloud, edge, or on-chain environments chosen by users.</w:t>
      </w:r>
    </w:p>
    <w:p w14:paraId="7F6E8D8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Explicit non-goals prevent the protocol from losing a deliverable boundary while chasing every use case. SOVRA would rather provide a clear, escapable product for a set of workloads that need data sovereignty and verifiable service than promise all infrastructure under a vague “decentralized cloud” label.</w:t>
      </w:r>
    </w:p>
    <w:p w14:paraId="4F3835E8" w14:textId="77777777" w:rsidR="00AD445F" w:rsidRDefault="00AD445F">
      <w:pPr>
        <w:pStyle w:val="WPKicker"/>
        <w:keepNext/>
        <w:rPr>
          <w:rFonts w:ascii="SimSun" w:eastAsia="SimSun" w:hAnsi="SimSun"/>
          <w:lang w:eastAsia="zh-CN"/>
        </w:rPr>
      </w:pPr>
      <w:r>
        <w:rPr>
          <w:rFonts w:ascii="Aptos" w:eastAsia="Aptos" w:hAnsi="Aptos"/>
          <w:lang w:eastAsia="zh-CN"/>
        </w:rPr>
        <w:br w:type="page"/>
      </w:r>
    </w:p>
    <w:p w14:paraId="3A78D23C"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3 · PROBLEM DEFINITION</w:t>
      </w:r>
    </w:p>
    <w:p w14:paraId="4826102D"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3.1  Contractual Ownership Is Not System-Level Control</w:t>
      </w:r>
    </w:p>
    <w:p w14:paraId="77477A04"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When the same platform decides the account, keys, permissions, interfaces, and data-export path, a user’s control over data is usually conditional.</w:t>
      </w:r>
    </w:p>
    <w:p w14:paraId="0C20EC5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The Gap in Data Sovereignty</w:t>
      </w:r>
    </w:p>
    <w:p w14:paraId="66173C8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Traditional platforms generally allow users to access and export data, but that ability depends on the account remaining valid, the platform continuing to operate, APIs not changing, egress fees remaining affordable, and the destination being able to reconstruct existing permissions and metadata. For a small number of files these limits may be unobtrusive; once an application accumulates billions of objects, long-lived user memory, and complex access rules, migration itself can become an unaffordable engineering project.</w:t>
      </w:r>
    </w:p>
    <w:p w14:paraId="247A54C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platform also controls object location, identity systems, permission policies, service levels, and final availability. Users may possess a contractual “right to use,” yet may not be able to prove that an object still exists, hand it to another provider for continued hosting, or maintain access during an account dispute without the platform’s permission.</w:t>
      </w:r>
    </w:p>
    <w:p w14:paraId="0413E7B6"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What SOVRA Tries to Change</w:t>
      </w:r>
    </w:p>
    <w:p w14:paraId="0AACDD2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separates object content, access authorization, storage contracts, and service providers into related but independent states. Objects are identified through content commitments; authorization is managed through revocable capabilities and key wrapping; storage contracts can move between nodes; and service providers can be reselected by the router. As long as users retain their keys and object manifests, continued data availability does not have to be bound to a single platform account.</w:t>
      </w:r>
    </w:p>
    <w:p w14:paraId="24ADD9B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This design cannot remove every dependency. Client software, key recovery, Gateways, verifiers, oracles, and governance can still become sources of risk. SOVRA’s goal is not to claim that the system is “trustless,” but to make each trust assumption smaller, more visible, easier to replace, and independently checkable with evidence.</w:t>
      </w:r>
    </w:p>
    <w:p w14:paraId="3C854D0B"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3.2  Vendor Lock-In and the Real Advantages of Traditional Cloud</w:t>
      </w:r>
    </w:p>
    <w:p w14:paraId="60E96E7E"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A credible decentralized-storage project must acknowledge both why traditional cloud succeeded and why users still need alternative paths.</w:t>
      </w:r>
    </w:p>
    <w:p w14:paraId="7640CD42"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What Traditional Cloud Gets Right</w:t>
      </w:r>
    </w:p>
    <w:p w14:paraId="2F0F55F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Large cloud platforms have mature data centers, networks, SLAs, monitoring, identity management, object lifecycles, enterprise support, and compliance programs. They provide a stable experience for most workloads and spare development teams from operating complex infrastructure themselves. SOVRA should not treat “replacing AWS, Google Cloud, or Azure completely” as an early objective, because that would ignore decades of engineering investment and customer migration cost.</w:t>
      </w:r>
    </w:p>
    <w:p w14:paraId="7A628BD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more viable market strategy is to first serve workloads willing to accept modest additional complexity in exchange for data sovereignty, independent verification, cross-platform migration, regional nodes, or wallet-native capabilities. Traditional cloud can continue to handle compute, databases, and most business systems, while SOVRA serves as an encrypted-object layer, a verifiable backup layer, or a resilience layer across providers.</w:t>
      </w:r>
    </w:p>
    <w:p w14:paraId="319CD65C"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How Lock-In Forms</w:t>
      </w:r>
    </w:p>
    <w:p w14:paraId="68D853E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 xml:space="preserve">Vendor lock-in does not come only from object APIs. Permission models, event notifications, directories and labels, key services, billing, egress fees, monitoring, and operational knowledge all create migration barriers. Even a platform that </w:t>
      </w:r>
      <w:r w:rsidRPr="00AD445F">
        <w:rPr>
          <w:rFonts w:ascii="Aptos" w:eastAsia="Aptos" w:hAnsi="Aptos"/>
          <w:lang w:eastAsia="zh-CN"/>
        </w:rPr>
        <w:lastRenderedPageBreak/>
        <w:t>advertises a standard interface may expose many platform-specific behaviors that applications depend on. SOVRA therefore needs open object manifests, standard content identifiers, exportable authorization information, and bulk-migration tools rather than simply another proprietary API surface.</w:t>
      </w:r>
    </w:p>
    <w:p w14:paraId="4E18700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Compatibility cannot stop at marketing. The project should maintain an explicit S3 compatibility matrix, publish unsupported semantics, and let users dual-write to SOVRA and traditional backends during a migration period. Real sovereignty does not require users to make a one-time bet on a new network; it gives them a practical exit whenever they need one.</w:t>
      </w:r>
    </w:p>
    <w:p w14:paraId="1A8EC0F2"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3.3  New Requirements for AI, Hot Data, and Regional Infrastructure</w:t>
      </w:r>
    </w:p>
    <w:p w14:paraId="718CB5D0"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Next-generation applications need more than inexpensive retention: they need a combination of privacy, versioning, authorization, low latency, and sustainable verification.</w:t>
      </w:r>
    </w:p>
    <w:p w14:paraId="3E27EBB7"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AI Agent Memory</w:t>
      </w:r>
    </w:p>
    <w:p w14:paraId="1C8AAEC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 Agent’s long-term memory may contain conversation summaries, user preferences, tool results, document fragments, location, and behavioral history. These data may be read frequently and may influence automated decisions for long periods. They are more important than ordinary cache content and more sensitive than public content. A qualified data layer must support object-level encryption, version rollback, short-lived authorization, source references, deletion requests, and full export rather than treating a vector database as a complete data-sovereignty solution.</w:t>
      </w:r>
    </w:p>
    <w:p w14:paraId="0F5F3C2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Agent use cases also magnify data poisoning and error inheritance. Once an incorrect summary enters long-term memory, subsequent tasks may continue to cite it. SOVRA’s content commitments and versioned manifests can prove which object version a piece of memory came from, but they cannot determine whether the content itself is true. Applications still need source verification and human correction at write, summarization, and use time.</w:t>
      </w:r>
    </w:p>
    <w:p w14:paraId="5394027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Regional and Edge Infrastructure</w:t>
      </w:r>
    </w:p>
    <w:p w14:paraId="702FFFB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Opportunities in emerging markets must also be made concrete. Cross-continent transport, bandwidth costs, mobile-network quality, payment methods, and regulatory boundaries can all affect service experience. Local nodes and edge caches may reduce read times for popular content and let regional operators contribute infrastructure. But if node utilization is too low, upstream cost is too high, or a supposedly diverse region actually depends on the same cloud provider, the regional network will not create a real advantage.</w:t>
      </w:r>
    </w:p>
    <w:p w14:paraId="7C73452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therefore treats regional P95 latency, retrieval success rate, egress cost, operator concentration, and repair time as core metrics. Regionalization becomes a product capability only when these measurements consistently outperform alternatives in the target cities.</w:t>
      </w:r>
    </w:p>
    <w:p w14:paraId="6D302834" w14:textId="77777777" w:rsidR="00724F85" w:rsidRPr="00AD445F" w:rsidRDefault="00000000">
      <w:pPr>
        <w:rPr>
          <w:rFonts w:ascii="SimSun" w:eastAsia="SimSun" w:hAnsi="SimSun"/>
          <w:lang w:eastAsia="zh-CN"/>
        </w:rPr>
      </w:pPr>
      <w:r w:rsidRPr="00AD445F">
        <w:rPr>
          <w:rFonts w:ascii="Aptos" w:eastAsia="Aptos" w:hAnsi="Aptos"/>
          <w:lang w:eastAsia="zh-CN"/>
        </w:rPr>
        <w:br w:type="page"/>
      </w:r>
    </w:p>
    <w:p w14:paraId="6B8340A9" w14:textId="77777777" w:rsidR="00724F85" w:rsidRPr="00AD445F" w:rsidRDefault="00000000">
      <w:pPr>
        <w:pStyle w:val="WPKicker"/>
        <w:keepNext/>
        <w:rPr>
          <w:rFonts w:ascii="SimSun" w:eastAsia="SimSun" w:hAnsi="SimSun"/>
          <w:sz w:val="40"/>
          <w:szCs w:val="40"/>
        </w:rPr>
      </w:pPr>
      <w:r w:rsidRPr="00AD445F">
        <w:rPr>
          <w:rFonts w:ascii="Aptos" w:eastAsia="Aptos" w:hAnsi="Aptos"/>
          <w:sz w:val="40"/>
          <w:szCs w:val="40"/>
        </w:rPr>
        <w:lastRenderedPageBreak/>
        <w:t>CHAPTER 4 · SOLUTION</w:t>
      </w:r>
    </w:p>
    <w:p w14:paraId="25547148" w14:textId="77777777" w:rsidR="00724F85" w:rsidRPr="00AD445F" w:rsidRDefault="00000000">
      <w:pPr>
        <w:pStyle w:val="WPPageTitle"/>
        <w:keepNext/>
        <w:pBdr>
          <w:bottom w:val="single" w:sz="12" w:space="5" w:color="0F766E"/>
        </w:pBdr>
        <w:rPr>
          <w:rFonts w:ascii="SimSun" w:eastAsia="SimSun" w:hAnsi="SimSun"/>
        </w:rPr>
      </w:pPr>
      <w:proofErr w:type="gramStart"/>
      <w:r w:rsidRPr="00AD445F">
        <w:rPr>
          <w:rFonts w:ascii="Aptos" w:eastAsia="Aptos" w:hAnsi="Aptos"/>
        </w:rPr>
        <w:t>4.1  Storage</w:t>
      </w:r>
      <w:proofErr w:type="gramEnd"/>
      <w:r w:rsidRPr="00AD445F">
        <w:rPr>
          <w:rFonts w:ascii="Aptos" w:eastAsia="Aptos" w:hAnsi="Aptos"/>
        </w:rPr>
        <w:t>-as-a-Protocol</w:t>
      </w:r>
    </w:p>
    <w:p w14:paraId="338AA190" w14:textId="77777777" w:rsidR="00724F85" w:rsidRPr="00AD445F" w:rsidRDefault="00000000">
      <w:pPr>
        <w:pStyle w:val="WPDeck"/>
        <w:keepNext/>
        <w:rPr>
          <w:rFonts w:ascii="SimSun" w:eastAsia="SimSun" w:hAnsi="SimSun"/>
        </w:rPr>
      </w:pPr>
      <w:r w:rsidRPr="00AD445F">
        <w:rPr>
          <w:rFonts w:ascii="Aptos" w:eastAsia="Aptos" w:hAnsi="Aptos"/>
        </w:rPr>
        <w:t>SOVRA organizes encryption, coding, routing, proofs, settlement, and repair into a programmable data service rather than a set of isolated storage primitives.</w:t>
      </w:r>
    </w:p>
    <w:p w14:paraId="6864D2F3"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A Unified but Replaceable Workflow</w:t>
      </w:r>
    </w:p>
    <w:p w14:paraId="7EFD929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When an object is uploaded, the client first generates a data-encryption key and performs authenticated encryption. Ciphertext is chunked, erasure-coded, and assembled into an object manifest containing algorithms, versions, shard commitments, authorizations, and storage policy. The router selects nodes based on price, region, historical reliability, and failure domain; each node returns a signed receipt after receiving its shard. The object becomes available only after independent confirmations exceed the recovery threshold.</w:t>
      </w:r>
    </w:p>
    <w:p w14:paraId="60EE5EC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During the contract, the proof coordinator derives unpredictable challenges, verifiers check node responses, and many results are aggregated into batches. The settlement program releases fees according to proofs, retrieval service, and SLA state. If a node remains offline or repeatedly fails proofs, a repair controller selects replacement nodes and rebuilds shards. When users read data, they obtain enough shards from any suitable set of nodes, verify them locally, and decrypt locally.</w:t>
      </w:r>
    </w:p>
    <w:p w14:paraId="33B819DF"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Why Call It a Protocol?</w:t>
      </w:r>
    </w:p>
    <w:p w14:paraId="38C53E5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value of a protocol is that different implementations follow the same rules for objects, commitments, proofs, and settlement. The project may operate an official Gateway and SDK, but other teams should be able to build compatible clients, private enterprise Gateways, independent indexers, and verification services. If any component can permanently lock an object, a key, or settlement, the network still contains an irreplaceable centralized control point.</w:t>
      </w:r>
    </w:p>
    <w:p w14:paraId="01F5E15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prioritizes mature standards such as CIDv1, Multiformats, CAR, the S3 API, and audited authenticated-encryption primitives. Interoperability does not mean copying the privacy model of a public DHT or another network. It means ensuring that data formats and migration paths do not depend on a single provider.</w:t>
      </w:r>
    </w:p>
    <w:p w14:paraId="50D23D2A" w14:textId="77777777" w:rsidR="00724F85" w:rsidRPr="00AD445F" w:rsidRDefault="00724F85">
      <w:pPr>
        <w:pStyle w:val="WPSmall"/>
        <w:spacing w:after="0"/>
        <w:rPr>
          <w:rFonts w:ascii="SimSun" w:eastAsia="SimSun" w:hAnsi="SimSun"/>
          <w:lang w:eastAsia="zh-CN"/>
        </w:rPr>
      </w:pPr>
    </w:p>
    <w:p w14:paraId="2C815272"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4.2  Separating the Data Plane from the Settlement Plane</w:t>
      </w:r>
    </w:p>
    <w:p w14:paraId="7844B641" w14:textId="77777777" w:rsidR="00724F85" w:rsidRPr="00AD445F" w:rsidRDefault="00000000">
      <w:pPr>
        <w:pStyle w:val="WPDeck"/>
        <w:keepNext/>
        <w:rPr>
          <w:rFonts w:ascii="SimSun" w:eastAsia="SimSun" w:hAnsi="SimSun"/>
          <w:lang w:eastAsia="zh-CN"/>
        </w:rPr>
      </w:pPr>
      <w:r w:rsidRPr="00AD445F">
        <w:rPr>
          <w:rFonts w:ascii="Aptos" w:eastAsia="Aptos" w:hAnsi="Aptos" w:cs="SimSun" w:hint="eastAsia"/>
          <w:lang w:eastAsia="zh-CN"/>
        </w:rPr>
        <w:t>The architecture places users and applications, protocol coordination, open nodes, and Solana settlement in distinct trust domains.</w:t>
      </w:r>
    </w:p>
    <w:p w14:paraId="7F10C974" w14:textId="77777777" w:rsidR="00724F85" w:rsidRPr="00AD445F" w:rsidRDefault="00000000">
      <w:pPr>
        <w:spacing w:after="40"/>
        <w:jc w:val="center"/>
        <w:rPr>
          <w:rFonts w:ascii="SimSun" w:eastAsia="SimSun" w:hAnsi="SimSun"/>
        </w:rPr>
      </w:pPr>
      <w:r w:rsidRPr="00AD445F">
        <w:rPr>
          <w:rFonts w:ascii="Aptos" w:eastAsia="Aptos" w:hAnsi="Aptos"/>
          <w:noProof/>
        </w:rPr>
        <w:drawing>
          <wp:inline distT="0" distB="0" distL="0" distR="0" wp14:anchorId="2B84D2BF" wp14:editId="2195B897">
            <wp:extent cx="6372000" cy="39356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itecture.png"/>
                    <pic:cNvPicPr/>
                  </pic:nvPicPr>
                  <pic:blipFill>
                    <a:blip r:embed="rId10"/>
                    <a:stretch>
                      <a:fillRect/>
                    </a:stretch>
                  </pic:blipFill>
                  <pic:spPr>
                    <a:xfrm>
                      <a:off x="0" y="0"/>
                      <a:ext cx="6372000" cy="3935647"/>
                    </a:xfrm>
                    <a:prstGeom prst="rect">
                      <a:avLst/>
                    </a:prstGeom>
                  </pic:spPr>
                </pic:pic>
              </a:graphicData>
            </a:graphic>
          </wp:inline>
        </w:drawing>
      </w:r>
    </w:p>
    <w:p w14:paraId="420D7248" w14:textId="77777777" w:rsidR="00724F85" w:rsidRPr="00AD445F" w:rsidRDefault="00000000">
      <w:pPr>
        <w:pStyle w:val="WPCaption"/>
        <w:jc w:val="center"/>
        <w:rPr>
          <w:rFonts w:ascii="SimSun" w:eastAsia="SimSun" w:hAnsi="SimSun"/>
          <w:lang w:eastAsia="zh-CN"/>
        </w:rPr>
      </w:pPr>
      <w:r w:rsidRPr="00AD445F">
        <w:rPr>
          <w:rFonts w:ascii="Aptos" w:eastAsia="Aptos" w:hAnsi="Aptos"/>
          <w:lang w:eastAsia="zh-CN"/>
        </w:rPr>
        <w:t>Figure 1 · SOVRA reference architecture and major trust domains.</w:t>
      </w:r>
    </w:p>
    <w:p w14:paraId="18E619D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Applications access SOVRA through a client or Gateway. Encryption, sharding, signing, and final verification are performed within the user trust domain whenever possible. Object and manifest services, the routing market, and proof coordinators organize protocol state. Storage nodes, retrieval nodes, and verifiers are operated by distinct entities. Solana stores only registration, commitment, settlement, and governance state.</w:t>
      </w:r>
    </w:p>
    <w:p w14:paraId="4E79ECE0"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In the early network, Gateways, routers, and proof coordinators may be operated by the core team, but their interfaces, state, and evidence must be reviewable by other implementations. Decentralization is not about making every service permissionless on day one. It is about ensuring that no single operator can read plaintext, fake data possession, permanently block migration, or make settlement decisions opaquely.</w:t>
      </w:r>
    </w:p>
    <w:p w14:paraId="368127D0"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4.3  Responsibilities of the Data, Control, and Settlement Planes</w:t>
      </w:r>
    </w:p>
    <w:p w14:paraId="13E1399F"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Layering keeps high-throughput data operations independent of on-chain performance while allowing critical responsibilities to be publicly audited.</w:t>
      </w:r>
    </w:p>
    <w:p w14:paraId="426C412F"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Data Plane</w:t>
      </w:r>
    </w:p>
    <w:p w14:paraId="4E0D794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data plane handles object encryption, coding, upload, retrieval, caching, and repair. Its throughput is directly related to object size and read frequency, so it must run efficiently off-chain. Storage nodes only need to understand shards, commitments, and contracts; they do not need to understand the object’s business semantics. Retrieval nodes may cache hot ciphertext, but still cannot decrypt it.</w:t>
      </w:r>
    </w:p>
    <w:p w14:paraId="75F32E8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lastRenderedPageBreak/>
        <w:t>A data-plane failure should not automatically compromise on-chain assets, and on-chain congestion should not make users lose the ability to read or export ciphertext that already exists. Clients should retain, or be able to recover, object manifests and should support switching among multiple Gateways and nodes.</w:t>
      </w:r>
    </w:p>
    <w:p w14:paraId="0D4DBE2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Control Plane and Settlement Plane</w:t>
      </w:r>
    </w:p>
    <w:p w14:paraId="7A858DD9"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control plane manages identity, policy, node selection, object indexing, proof schedules, repair tasks, and observability. It needs rapid iteration and rich metadata, but that metadata can reveal user behavior and should therefore be private by default, minimized, and subject to retention limits.</w:t>
      </w:r>
    </w:p>
    <w:p w14:paraId="709FC54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settlement plane manages node registration, staking, storage contracts, batched proof commitments, fund escrow, and governance parameters. On-chain state must remain compact: large numbers of objects can be aggregated into a contract or Merkle root, and large numbers of proofs can be anchored once per epoch. Only when a dispute occurs should the relevant inclusion proof and necessary evidence be submitted or disclosed.</w:t>
      </w:r>
    </w:p>
    <w:p w14:paraId="3C610466"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Replaceability</w:t>
      </w:r>
    </w:p>
    <w:p w14:paraId="70F2866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 official Gateway can provide the simplest onboarding experience, but the protocol should not require every user to depend on it. Enterprises can run private Gateways, developers can use the SDK to interact with nodes directly, and independent indexers can parse public commitments. Real openness comes from replaceable implementations, not from the raw number of components.</w:t>
      </w:r>
    </w:p>
    <w:p w14:paraId="231B3D51" w14:textId="77777777" w:rsidR="00724F85" w:rsidRPr="00AD445F" w:rsidRDefault="00724F85" w:rsidP="00050B1D">
      <w:pPr>
        <w:rPr>
          <w:rFonts w:ascii="SimSun" w:eastAsia="SimSun" w:hAnsi="SimSun"/>
          <w:lang w:eastAsia="zh-CN"/>
        </w:rPr>
      </w:pPr>
    </w:p>
    <w:p w14:paraId="670C17BA"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4.4  Who Is Trusted, and How Trust Is Reduced</w:t>
      </w:r>
    </w:p>
    <w:p w14:paraId="55F72977"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 does not use “zero trust” as a slogan. It identifies the damage each participant can cause and uses separation of responsibilities to limit the blast radius.</w:t>
      </w:r>
    </w:p>
    <w:p w14:paraId="05FE8D7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Users and Endpoints</w:t>
      </w:r>
    </w:p>
    <w:p w14:paraId="1186539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User devices can access plaintext and keys, so endpoint compromise is the most direct confidentiality risk. Clients should use secure enclaves, system keychains, Passkeys, or enterprise KMS systems, and should limit sensitive information in logs and crash reports. The network cannot protect an endpoint already controlled by malware, nor can it retrieve plaintext that an authorized recipient intentionally copied.</w:t>
      </w:r>
    </w:p>
    <w:p w14:paraId="6941B2A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Gateways, Nodes, and Verifiers</w:t>
      </w:r>
    </w:p>
    <w:p w14:paraId="186E9E1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Gateway can observe accounts, requests, timing, and some object metadata, but should not receive plaintext keys by default. Storage nodes may delete shards, corrupt data, exaggerate capacity, deny service, or collude, so they require continuous proofs, staking, scoring, and repair. Verifiers may censor nodes or jointly falsify conclusions, so important batches should be independently signed by multiple verifiers and remain reviewable against public commitments.</w:t>
      </w:r>
    </w:p>
    <w:p w14:paraId="66B466E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Routers may favor affiliated nodes, oracles may provide bad prices, and governance or upgrade keys may be stolen. SOVRA needs public routing rules, limits on any one failure domain, multi-source pricing and circuit breakers, multi-signature and timelock controls for upgrades, and a gradual reduction of emergency powers.</w:t>
      </w:r>
    </w:p>
    <w:p w14:paraId="31DD41E7"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Minimum Trust Objectives</w:t>
      </w:r>
    </w:p>
    <w:p w14:paraId="1036106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Confidentiality should depend on correct client-side encryption rather than honest storage nodes; integrity should depend on content commitments and authentication tags rather than a trusted download source; durability should depend on uncorrelated redundancy, continuous auditing, and timely repair rather than any single node; and settlement should depend on reviewable proof batches and dispute rules rather than a single Gateway report.</w:t>
      </w:r>
    </w:p>
    <w:p w14:paraId="05206FA7" w14:textId="77777777" w:rsidR="001400AB" w:rsidRPr="00AD445F" w:rsidRDefault="00000000" w:rsidP="006878AB">
      <w:pPr>
        <w:pStyle w:val="WPH2"/>
        <w:keepNext/>
        <w:rPr>
          <w:rFonts w:ascii="SimSun" w:eastAsia="SimSun" w:hAnsi="SimSun"/>
          <w:lang w:eastAsia="zh-CN"/>
        </w:rPr>
      </w:pPr>
      <w:r w:rsidRPr="00AD445F">
        <w:rPr>
          <w:rFonts w:ascii="Aptos" w:eastAsia="Aptos" w:hAnsi="Aptos" w:cs="SimSun" w:hint="eastAsia"/>
          <w:lang w:eastAsia="zh-CN"/>
        </w:rPr>
        <w:t>Replaceability Is the Test of Decentralization</w:t>
      </w:r>
    </w:p>
    <w:p w14:paraId="48681589"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 xml:space="preserve">Gateways, verifiers, repair controllers, and indexing services can all become de facto centers. The protocol should require these components to use public formats and replaceable interfaces: users can export object manifests and </w:t>
      </w:r>
      <w:r w:rsidRPr="00AD445F">
        <w:rPr>
          <w:rFonts w:ascii="Aptos" w:eastAsia="Aptos" w:hAnsi="Aptos"/>
          <w:lang w:eastAsia="zh-CN"/>
        </w:rPr>
        <w:lastRenderedPageBreak/>
        <w:t>authorizations, nodes can verify challenge sources, third parties can run independent Gateways, and repair tasks can be competed for by multiple controllers.</w:t>
      </w:r>
    </w:p>
    <w:p w14:paraId="5C0F07A1"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 real escape hatch is not simply “open source.” It means another implementation can still recover objects, verify commitments, and continue service when the primary service fails. Every critical component should state what state it stores, what happens when it fails, and how users migrate or recover.</w:t>
      </w:r>
    </w:p>
    <w:p w14:paraId="47A483AE" w14:textId="77777777" w:rsidR="006878AB" w:rsidRPr="00AD445F" w:rsidRDefault="006878AB">
      <w:pPr>
        <w:pStyle w:val="WPKicker"/>
        <w:keepNext/>
        <w:rPr>
          <w:rFonts w:ascii="SimSun" w:eastAsia="SimSun" w:hAnsi="SimSun"/>
          <w:lang w:eastAsia="zh-CN"/>
        </w:rPr>
      </w:pPr>
      <w:r w:rsidRPr="00AD445F">
        <w:rPr>
          <w:rFonts w:ascii="Aptos" w:eastAsia="Aptos" w:hAnsi="Aptos"/>
          <w:lang w:eastAsia="zh-CN"/>
        </w:rPr>
        <w:br w:type="page"/>
      </w:r>
    </w:p>
    <w:p w14:paraId="0D5C7C09"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5 · DATA MODEL</w:t>
      </w:r>
    </w:p>
    <w:p w14:paraId="300F263C"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5.1  SOVRA Object and the Encrypted Object Manifest</w:t>
      </w:r>
    </w:p>
    <w:p w14:paraId="503A91C7"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The object manifest connects content, coding, authorization, and storage contracts. It is the key to letting users migrate data without depending on the original provider.</w:t>
      </w:r>
    </w:p>
    <w:p w14:paraId="71F77228"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What an Object Contains</w:t>
      </w:r>
    </w:p>
    <w:p w14:paraId="3CE353D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SOVRA Object is not a single file address. It is a signed and versioned description. The manifest records the format version, authenticated-encryption suite, ciphertext content root, erasure-code parameters, the Merkle root of each shard, DEKs wrapped to different recipients, storage policy, contract references, creation time, and expiration time. The manifest is signed by the object owner or delegated application, and every update creates a new version.</w:t>
      </w:r>
    </w:p>
    <w:p w14:paraId="7813CA0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Object content and storage location are separated. The content root identifies what the object is; the contract references identify who currently stores it. Node migration or repair can change contract references without changing the object’s logical identity. Re-encryption or content changes create a new content commitment and a new version.</w:t>
      </w:r>
    </w:p>
    <w:p w14:paraId="2A3B2CF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Content Identification</w:t>
      </w:r>
    </w:p>
    <w:p w14:paraId="3B39BEB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recommends encrypting before content addressing by default and generating CIDv1 from the canonical encrypted manifest. A CID is more than a file hash: it also identifies the hash and encoding types. [R3] Random nonces mean that the same plaintext typically produces different ciphertext and different CIDs across uploads, reducing simple equality correlation but also preventing cross-user deduplication by default.</w:t>
      </w:r>
    </w:p>
    <w:p w14:paraId="3155BC3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If convergent encryption or cross-user deduplication is introduced in the future, it must be treated as a high-risk optional mode because an attacker who knows a candidate plaintext may compute the result and test whether the content exists. A sovereign data layer should prioritize privacy rather than sacrifice confidentiality by default to save a small amount of capacity.</w:t>
      </w:r>
    </w:p>
    <w:p w14:paraId="41231028"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Manifest Portability</w:t>
      </w:r>
    </w:p>
    <w:p w14:paraId="792F978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Users should be able to export object manifests, ciphertext-shard indexes, and key wrappers without manual approval from the project. A compatible client that understands the manifest version and cryptographic suite can verify, recover, and relocate the object to another set of nodes or another backend.</w:t>
      </w:r>
    </w:p>
    <w:p w14:paraId="31D45348" w14:textId="77777777" w:rsidR="00050B1D" w:rsidRPr="00AD445F" w:rsidRDefault="00050B1D" w:rsidP="00050B1D">
      <w:pPr>
        <w:rPr>
          <w:rFonts w:ascii="SimSun" w:eastAsia="SimSun" w:hAnsi="SimSun"/>
          <w:lang w:eastAsia="zh-CN"/>
        </w:rPr>
      </w:pPr>
    </w:p>
    <w:p w14:paraId="398BD124"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Manifest Versioning and Deterministic Encoding</w:t>
      </w:r>
    </w:p>
    <w:p w14:paraId="43E31FB4"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Object manifests need deterministic serialization that explicitly defines the protocol version, chunking parameters, cryptographic suite, erasure-code parameters, shard commitments, and root hashes. The same fields must produce the same byte sequence and object identifier across clients; otherwise cross-implementation verification and migration lose their foundation.</w:t>
      </w:r>
    </w:p>
    <w:p w14:paraId="7B441D1F"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 published manifest should never be silently modified. When metadata, authorization, or replica plans change, the client creates a new version referencing the previous one so readers can distinguish content updates, permission updates, and storage-location changes. The version chain also provides reproducible evidence for billing disputes, recovery, and audits.</w:t>
      </w:r>
    </w:p>
    <w:p w14:paraId="7F1E1B34"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5.2  Object, Authorization, and Replicas Are Three Independent States</w:t>
      </w:r>
    </w:p>
    <w:p w14:paraId="41069E24"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Upload, retrieval, sharing, renewal, and deletion all change one or more of these three state classes.</w:t>
      </w:r>
    </w:p>
    <w:p w14:paraId="35ED957C" w14:textId="77777777" w:rsidR="00724F85" w:rsidRPr="00AD445F" w:rsidRDefault="00000000">
      <w:pPr>
        <w:spacing w:after="40"/>
        <w:jc w:val="center"/>
        <w:rPr>
          <w:rFonts w:ascii="SimSun" w:eastAsia="SimSun" w:hAnsi="SimSun"/>
        </w:rPr>
      </w:pPr>
      <w:r w:rsidRPr="00AD445F">
        <w:rPr>
          <w:rFonts w:ascii="Aptos" w:eastAsia="Aptos" w:hAnsi="Aptos"/>
          <w:noProof/>
        </w:rPr>
        <w:drawing>
          <wp:inline distT="0" distB="0" distL="0" distR="0" wp14:anchorId="07D72C1C" wp14:editId="64C3EAF0">
            <wp:extent cx="6372000" cy="39356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cycle.png"/>
                    <pic:cNvPicPr/>
                  </pic:nvPicPr>
                  <pic:blipFill>
                    <a:blip r:embed="rId11"/>
                    <a:stretch>
                      <a:fillRect/>
                    </a:stretch>
                  </pic:blipFill>
                  <pic:spPr>
                    <a:xfrm>
                      <a:off x="0" y="0"/>
                      <a:ext cx="6372000" cy="3935647"/>
                    </a:xfrm>
                    <a:prstGeom prst="rect">
                      <a:avLst/>
                    </a:prstGeom>
                  </pic:spPr>
                </pic:pic>
              </a:graphicData>
            </a:graphic>
          </wp:inline>
        </w:drawing>
      </w:r>
    </w:p>
    <w:p w14:paraId="768C77AE" w14:textId="77777777" w:rsidR="00724F85" w:rsidRPr="00AD445F" w:rsidRDefault="00000000">
      <w:pPr>
        <w:pStyle w:val="WPCaption"/>
        <w:jc w:val="center"/>
        <w:rPr>
          <w:rFonts w:ascii="SimSun" w:eastAsia="SimSun" w:hAnsi="SimSun"/>
          <w:lang w:eastAsia="zh-CN"/>
        </w:rPr>
      </w:pPr>
      <w:r w:rsidRPr="00AD445F">
        <w:rPr>
          <w:rFonts w:ascii="Aptos" w:eastAsia="Aptos" w:hAnsi="Aptos"/>
          <w:lang w:eastAsia="zh-CN"/>
        </w:rPr>
        <w:t>Figure 2 · Data lifecycle of a SOVRA encrypted object.</w:t>
      </w:r>
    </w:p>
    <w:p w14:paraId="05D852E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Object-content state describes the ciphertext and its versions; access-authorization state describes which principals can obtain decryption capability; replica-and-contract state describes which nodes should store which shards and for how long. Revoking authorization does not automatically delete ciphertext from nodes, and stopping renewals does not automatically change keys the user still holds. Keeping the three state classes separate allows permission rotation and node migration without re-uploading all data.</w:t>
      </w:r>
    </w:p>
    <w:p w14:paraId="56F1827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final stage of the lifecycle is not a simple “Delete” button. The protocol can stop payments, remove objects from indexes, request that nodes delete shards, revoke capabilities, and destroy controlled keys, but it cannot prove that no recipient or malicious node copied the content earlier. SOVRA therefore describes deletion through verifiable operations and explicit trust boundaries rather than promising absolute physical erasure.</w:t>
      </w:r>
    </w:p>
    <w:p w14:paraId="0A28116A" w14:textId="77777777" w:rsidR="00050B1D" w:rsidRPr="00AD445F" w:rsidRDefault="00050B1D" w:rsidP="00050B1D">
      <w:pPr>
        <w:rPr>
          <w:rFonts w:ascii="SimSun" w:eastAsia="SimSun" w:hAnsi="SimSun"/>
          <w:lang w:eastAsia="zh-CN"/>
        </w:rPr>
      </w:pPr>
    </w:p>
    <w:p w14:paraId="3E30C9BA"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5.3  From Local Encryption to Verifiable Availability</w:t>
      </w:r>
    </w:p>
    <w:p w14:paraId="70B7C394"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A successful upload should mean that enough independent shards have been confirmed and can reconstruct the object—not merely that a Gateway received bytes.</w:t>
      </w:r>
    </w:p>
    <w:p w14:paraId="54D6EAE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Preparation and Encryption</w:t>
      </w:r>
    </w:p>
    <w:p w14:paraId="53FE1CD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client first selects object sensitivity, retention period, service tier, regional requirements, and authorized principals. It then generates a random DEK, encrypts the object with an audited AEAD algorithm, and binds the object version, algorithm identifier, and required policy summary as additional authenticated data. Ciphertext is split into chunks suitable for parallel transfer and proof, then encoded into n shards using erasure coding.</w:t>
      </w:r>
    </w:p>
    <w:p w14:paraId="56A57983" w14:textId="77777777" w:rsidR="00724F85" w:rsidRPr="00AD445F" w:rsidRDefault="00000000">
      <w:pPr>
        <w:pStyle w:val="WPBody"/>
        <w:rPr>
          <w:rFonts w:ascii="SimSun" w:eastAsia="SimSun" w:hAnsi="SimSun"/>
        </w:rPr>
      </w:pPr>
      <w:r w:rsidRPr="00AD445F">
        <w:rPr>
          <w:rFonts w:ascii="Aptos" w:eastAsia="Aptos" w:hAnsi="Aptos"/>
        </w:rPr>
        <w:lastRenderedPageBreak/>
        <w:t>Each shard receives a Merkle root. The client builds and signs the object manifest. The manifest contains no plaintext keys; the DEK appears only in a key envelope wrapped by a user, device, team, or enterprise KMS KEK.</w:t>
      </w:r>
    </w:p>
    <w:p w14:paraId="253377C6"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Quoting, Routing, and Confirmation</w:t>
      </w:r>
    </w:p>
    <w:p w14:paraId="4286B0F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client requests a quote from the market layer. The quote states capacity, term, region, retrieval, redundancy, SLA, total price cap, and validity period. The router scores only candidate nodes that satisfy hard constraints and limits excessive shard concentration under the same operator, ASN, cloud provider, or region.</w:t>
      </w:r>
    </w:p>
    <w:p w14:paraId="443F928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Shards are sent in parallel from the client or a trusted Gateway to nodes. Each node verifies the shard commitment and issues a provisional receipt. Once independent confirmations reach the recovery threshold plus a safety buffer, the system creates an availability certificate and registers the necessary commitments and escrow state on Solana. If the threshold is not reached before timeout, the upload must explicitly fail or degrade rather than silently display “safely stored.”</w:t>
      </w:r>
    </w:p>
    <w:p w14:paraId="55E5119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Idempotency and Recovery</w:t>
      </w:r>
    </w:p>
    <w:p w14:paraId="4FE1CCA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Each upload uses a stable task ID and shard state so the client can resume after network interruption. Retries must not cause duplicate charges or conflicting object versions. Unused escrowed funds should be returned according to the rules.</w:t>
      </w:r>
    </w:p>
    <w:p w14:paraId="24756FAC" w14:textId="77777777" w:rsidR="00050B1D" w:rsidRPr="00AD445F" w:rsidRDefault="00050B1D" w:rsidP="00050B1D">
      <w:pPr>
        <w:rPr>
          <w:rFonts w:ascii="SimSun" w:eastAsia="SimSun" w:hAnsi="SimSun"/>
          <w:lang w:eastAsia="zh-CN"/>
        </w:rPr>
      </w:pPr>
    </w:p>
    <w:p w14:paraId="4849F220"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5.4  Any Source May Provide Ciphertext; Only Local Verification Determines Acceptance</w:t>
      </w:r>
    </w:p>
    <w:p w14:paraId="57DA8AE4"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The retrieval path verifies identity, manifest, shards, reconstruction, and decryption in sequence, avoiding the use of node reputation as a substitute for data integrity.</w:t>
      </w:r>
    </w:p>
    <w:p w14:paraId="760F41C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Retrieval Flow</w:t>
      </w:r>
    </w:p>
    <w:p w14:paraId="425BD0F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client first parses the object manifest and verifies the owner signature, then uses a short-lived capability or organizational identity to obtain a list of available nodes. The reader requests multiple encoded shards in parallel, prioritizing low-latency and high-reputation nodes. Once k valid shards are available, decoding can begin; slow nodes are canceled or retained as fallback.</w:t>
      </w:r>
    </w:p>
    <w:p w14:paraId="576CE48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Each shard is verified through its Merkle path before reconstruction. The client recomputes the content commitment, verifies the AEAD tag, and finally decrypts locally. If any step fails, no partial plaintext is emitted; the client switches nodes, refreshes the manifest, or returns a diagnosable error.</w:t>
      </w:r>
    </w:p>
    <w:p w14:paraId="0788FE58"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Authorization and Sharing</w:t>
      </w:r>
    </w:p>
    <w:p w14:paraId="2D9238E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Sharing an object does not require giving the DEK to the Gateway. The owner can add a new key envelope for the recipient or issue a capability token limited by object, prefix, action, bandwidth, and duration. Revocation prevents the recipient from obtaining further controlled keys or download capability, but it cannot recover plaintext that the recipient already acquired legitimately.</w:t>
      </w:r>
    </w:p>
    <w:p w14:paraId="5D9CF171"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Enterprise mode can map wallets, Passkeys, or OIDC identities to organizational roles and use a KMS to wrap DEKs. Personal mode can use device secure enclaves, recovery shares, or social recovery. In all cases, ordinary storage nodes should not become key custodians.</w:t>
      </w:r>
    </w:p>
    <w:p w14:paraId="68E776D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User Experience and Transparency</w:t>
      </w:r>
    </w:p>
    <w:p w14:paraId="12C7A49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SDK should show which regions supplied a read, whether caching was used, whether the object is under repair, and how many valid shards were ultimately used. For high-value data, users should also be able to export a proof receipt and the complete recovery record.</w:t>
      </w:r>
    </w:p>
    <w:p w14:paraId="100250C9"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Authorization Is Not Copying the Master Key</w:t>
      </w:r>
    </w:p>
    <w:p w14:paraId="43E1E24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 xml:space="preserve">Objects should be encrypted with independent data keys, with a separate key wrapper generated for each user, device, or service principal. Authorization therefore becomes a revocable, expiring, purpose-limited capability rather than </w:t>
      </w:r>
      <w:r w:rsidRPr="00AD445F">
        <w:rPr>
          <w:rFonts w:ascii="Aptos" w:eastAsia="Aptos" w:hAnsi="Aptos"/>
          <w:lang w:eastAsia="zh-CN"/>
        </w:rPr>
        <w:lastRenderedPageBreak/>
        <w:t>distribution of the same master key to every participant. If a device is lost, only the corresponding wrapper needs to be revoked; the entire object does not need to be rewritten immediately.</w:t>
      </w:r>
    </w:p>
    <w:p w14:paraId="4BB25432"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Revocation cannot recover plaintext that was already downloaded legitimately. The access model must therefore distinguish honestly between “prevent future decryption” and “erase historical copies.” Highly sensitive data can combine short-lived capabilities, controlled execution environments, segmented keys, and watermarking, but these measures do not replace recipient responsibility.</w:t>
      </w:r>
    </w:p>
    <w:p w14:paraId="1354E7EB"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5.5  Data Sovereignty Ultimately Depends on the Key Lifecycle</w:t>
      </w:r>
    </w:p>
    <w:p w14:paraId="3B51EF79"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Encryption algorithms are only the starting point. The harder problem is how keys are generated, stored, shared, recovered, rotated, and destroyed.</w:t>
      </w:r>
    </w:p>
    <w:p w14:paraId="515CCB46"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Hierarchical Keys</w:t>
      </w:r>
    </w:p>
    <w:p w14:paraId="6FEF1FD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Account or organizational root keys are used for identity and authorization, not for directly encrypting large objects. Each object or object segment uses a random DEK to limit the impact of a single key compromise. The DEK is then wrapped by a KEK belonging to the user, device, team, or enterprise KMS, allowing new recipients, device revocation, or KEK rotation without re-encrypting the object.</w:t>
      </w:r>
    </w:p>
    <w:p w14:paraId="43A6162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reference cipher suite may use AES-256-GCM or an audited equivalent AEAD. NIST SP 800-38D emphasizes IV uniqueness for GCM under the same key; nonce reuse can seriously compromise confidentiality and integrity. [R10] SOVRA must use validated cryptographic libraries, maintain algorithm versions and test vectors, and prohibit custom cryptographic primitives.</w:t>
      </w:r>
    </w:p>
    <w:p w14:paraId="55ADEC0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Recovery and Rotation</w:t>
      </w:r>
    </w:p>
    <w:p w14:paraId="0C45ACE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When creating a space, users should choose a recovery model: unrecoverable full self-custody, device plus recovery shares, or enterprise KMS. The product must explain the responsibilities and risks of each model in clear language. Recovery procedures must be exercised regularly; a seed phrase, share, or spare device that has never been tested cannot be treated as a valid backup.</w:t>
      </w:r>
    </w:p>
    <w:p w14:paraId="6806EF4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KEK rotation usually requires only rewrapping the DEK. A compromised DEK or a cryptographic-suite upgrade requires re-encrypting the object and creating a new version. If a device is lost, the system should allow immediate device revocation, freezing of new authorizations, rewrapping of still-safe DEKs, and marking of potentially affected object versions.</w:t>
      </w:r>
    </w:p>
    <w:p w14:paraId="6D15B2E8"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Implementation Discipline</w:t>
      </w:r>
    </w:p>
    <w:p w14:paraId="747D58C0"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Keys, seed phrases, and replayable capabilities must never enter application logs, crash reports, analytics systems, or support tickets. OWASP key-management guidance recommends protected keystores, integrity protection, and explicit processes for generation, distribution, recovery, and destruction, and can serve as an engineering baseline. [R11]</w:t>
      </w:r>
    </w:p>
    <w:p w14:paraId="07C2C24D" w14:textId="77777777" w:rsidR="00050B1D" w:rsidRPr="00AD445F" w:rsidRDefault="00050B1D" w:rsidP="00050B1D">
      <w:pPr>
        <w:rPr>
          <w:rFonts w:ascii="SimSun" w:eastAsia="SimSun" w:hAnsi="SimSun"/>
          <w:lang w:eastAsia="zh-CN"/>
        </w:rPr>
      </w:pPr>
    </w:p>
    <w:p w14:paraId="55A4C3E3"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Layered Recovery Strategies</w:t>
      </w:r>
    </w:p>
    <w:p w14:paraId="2CFBB2FC"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Key recovery should offer selectable security tiers. Personal self-custody can use offline recovery packages or multi-device shares; teams can use multisignature recovery and role approvals; enterprises can integrate their own KMS, HSM, and rotation policies. A default product cannot upload recovery secrets to a single Gateway and still claim that users are fully self-custodial.</w:t>
      </w:r>
    </w:p>
    <w:p w14:paraId="4F0E2704"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Key rotation should prioritize rewrapping data keys rather than re-encrypting every object. When device compromise is detected, the system should first freeze new authorizations, revoke the device, rotate wrapping keys, and review access records. True disaster recovery must also be exercised regularly because untested recovery material cannot be assumed to work.</w:t>
      </w:r>
    </w:p>
    <w:p w14:paraId="6CFBAA81"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5.6  CID Guarantees Content Consistency, Not Privacy, Location, or Persistence</w:t>
      </w:r>
    </w:p>
    <w:p w14:paraId="0DC8FFD7"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Content addressing answers “did I retrieve the same data?” but does not automatically answer “who knows it exists?” or “who will keep storing it?”</w:t>
      </w:r>
    </w:p>
    <w:p w14:paraId="730BA103"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The Value of Content Addressing</w:t>
      </w:r>
    </w:p>
    <w:p w14:paraId="202CDBF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CID is constructed from a cryptographic hash of content plus encoding information. Any change in content produces a different identifier, and a recipient can recompute the identifier to confirm that a download matches the requested object. [R3] This verification does not require trusting the download node, making it well suited to object integrity and version references in an open network.</w:t>
      </w:r>
    </w:p>
    <w:p w14:paraId="740041F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CID does not say where data is stored and does not guarantee that any node will continue to provide it. Persistence comes from storage contracts, fees, proofs, redundancy, and repair—not from the identifier itself. SOVRA therefore separates content addressing from the service market: an object can move across nodes and contracts over time while its content commitment remains stable.</w:t>
      </w:r>
    </w:p>
    <w:p w14:paraId="48EF7E6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Metadata Leakage</w:t>
      </w:r>
    </w:p>
    <w:p w14:paraId="26D09E1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CIDs, node locations, access times, object sizes, payment addresses, and request patterns in an open network may all be correlated. IPFS documentation also notes that a public DHT can expose the relationship between a PeerID and the CIDs it provides even when transport between nodes is encrypted. [R4] For private objects, SOVRA should not publish provider records to a public index by default.</w:t>
      </w:r>
    </w:p>
    <w:p w14:paraId="2C4EABE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In private mode, a Gateway resolves encrypted indexes only after authentication, and nodes receive shard locators and contract information without business semantics. Object names, recipient relationships, and sensitive policy fields should be encrypted. On-chain accounts should contain only irreversible commitments and necessary state—not names, email addresses, filenames, or reversible personal identifiers.</w:t>
      </w:r>
    </w:p>
    <w:p w14:paraId="6126AAC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Side Channels and Trade-Offs</w:t>
      </w:r>
    </w:p>
    <w:p w14:paraId="237305B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Client-side encryption still cannot eliminate side channels such as size, timing, and traffic patterns. Highly sensitive use cases can employ size buckets, batching, caching, or query proxies, but those measures increase bandwidth, latency, and cost. SOVRA should expose clear modes rather than claim that one default configuration satisfies every privacy requirement.</w:t>
      </w:r>
    </w:p>
    <w:p w14:paraId="0EAEFA67" w14:textId="77777777" w:rsidR="00050B1D" w:rsidRPr="00AD445F" w:rsidRDefault="00050B1D" w:rsidP="00050B1D">
      <w:pPr>
        <w:rPr>
          <w:rFonts w:ascii="SimSun" w:eastAsia="SimSun" w:hAnsi="SimSun"/>
          <w:lang w:eastAsia="zh-CN"/>
        </w:rPr>
      </w:pPr>
    </w:p>
    <w:p w14:paraId="69C8E861"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5.7  Durability Comes from Independent Redundancy and Timely Repair</w:t>
      </w:r>
    </w:p>
    <w:p w14:paraId="5B87BC76"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Erasure coding can tolerate node failure with less capacity overhead than simple replication, but correlated failures can make mathematical redundancy meaningless.</w:t>
      </w:r>
    </w:p>
    <w:p w14:paraId="0155D1F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k-of-n Recovery</w:t>
      </w:r>
    </w:p>
    <w:p w14:paraId="54639A3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 object is encoded into n shards. As long as any k valid shards remain available, the original ciphertext can be reconstructed. Baseline capacity overhead is approximately n/k, with additional space required for manifests, proof tags, temporary repair space, and small-object fragmentation. Reed–Solomon coding is built on mature error-correction theory and is one candidate foundation for SOVRA. [R17]</w:t>
      </w:r>
    </w:p>
    <w:p w14:paraId="0C1FE20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Different service tiers may use different parameters. Hot data may use lower redundancy and more aggressive caching, while durable tiers increase cross-region sharding. Small objects may temporarily use replication if coding overhead is excessive. Final defaults must be determined through disk-failure, node-offline, network-jitter, and repair-cost testing.</w:t>
      </w:r>
    </w:p>
    <w:p w14:paraId="3E2F3F19"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lastRenderedPageBreak/>
        <w:t>Independence Matters More Than Quantity</w:t>
      </w:r>
    </w:p>
    <w:p w14:paraId="3594750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Placing 16 shards in the same cloud, ASN, operator, or software version does not create 16 independent failure domains. The router must limit concentration across dimensions such as legal entity, payment aggregation, network autonomous system, cloud provider, region, hardware batch, and software version.</w:t>
      </w:r>
    </w:p>
    <w:p w14:paraId="1B5A6A4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Theoretical durability formulas usually assume independent shard failure, but real-world power outages, cloud failures, software bugs, policy actions, and attacks are often correlated. SOVRA durability reports should publish coding parameters, operator distribution, regional distribution, time spent below the redundancy safety level, and results of real recovery drills—not only a “number of nines” calculated from an idealized model.</w:t>
      </w:r>
    </w:p>
    <w:p w14:paraId="76AD073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Low-Water Marks and Repair</w:t>
      </w:r>
    </w:p>
    <w:p w14:paraId="66FB348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system should not wait until valid shards approach k before acting. When redundancy falls below a safety buffer, the repair controller should reconstruct from the remaining healthy k shards and place new shards first. Repair must respect the object’s residency and budget policies and must limit concurrency during failure storms, prioritizing higher-value and higher-risk objects.</w:t>
      </w:r>
    </w:p>
    <w:p w14:paraId="4E1C086C" w14:textId="77777777" w:rsidR="001400AB" w:rsidRPr="00AD445F" w:rsidRDefault="00000000" w:rsidP="006878AB">
      <w:pPr>
        <w:pStyle w:val="WPH2"/>
        <w:keepNext/>
        <w:rPr>
          <w:rFonts w:ascii="SimSun" w:eastAsia="SimSun" w:hAnsi="SimSun"/>
          <w:lang w:eastAsia="zh-CN"/>
        </w:rPr>
      </w:pPr>
      <w:r w:rsidRPr="00AD445F">
        <w:rPr>
          <w:rFonts w:ascii="Aptos" w:eastAsia="Aptos" w:hAnsi="Aptos" w:cs="SimSun" w:hint="eastAsia"/>
          <w:lang w:eastAsia="zh-CN"/>
        </w:rPr>
        <w:t>Durability Is a Continuous Process</w:t>
      </w:r>
    </w:p>
    <w:p w14:paraId="247BF319" w14:textId="77777777" w:rsidR="001400AB" w:rsidRPr="00AD445F" w:rsidRDefault="00000000">
      <w:pPr>
        <w:pStyle w:val="WPBody"/>
        <w:rPr>
          <w:rFonts w:ascii="SimSun" w:eastAsia="SimSun" w:hAnsi="SimSun"/>
          <w:lang w:eastAsia="zh-CN"/>
        </w:rPr>
      </w:pPr>
      <w:r w:rsidRPr="00AD445F">
        <w:rPr>
          <w:rFonts w:ascii="Aptos" w:eastAsia="Aptos" w:hAnsi="Aptos" w:cs="SimSun" w:hint="eastAsia"/>
          <w:lang w:eastAsia="zh-CN"/>
        </w:rPr>
        <w:t>The durability implied by erasure coding only holds when shard failures are approximately independent, auditing detects damage in time, and repair completes within the risk window. If multiple nodes are controlled by the same operator, reside in the same facility, or run the same defective software version, nominally n shards may correspond to only one real failure domain.</w:t>
      </w:r>
    </w:p>
    <w:p w14:paraId="4229D41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protocol therefore needs to publish coding overhead, failure-domain assumptions, audit frequency, repair-trigger thresholds, and historical repair times. Durability is not a huge percentage detached from conditions; it is the service outcome created jointly by redundancy, independence, detection speed, and repair capability.</w:t>
      </w:r>
    </w:p>
    <w:p w14:paraId="59BA06D7" w14:textId="77777777" w:rsidR="006878AB" w:rsidRPr="00AD445F" w:rsidRDefault="006878AB">
      <w:pPr>
        <w:pStyle w:val="WPKicker"/>
        <w:keepNext/>
        <w:rPr>
          <w:rFonts w:ascii="SimSun" w:eastAsia="SimSun" w:hAnsi="SimSun"/>
          <w:lang w:eastAsia="zh-CN"/>
        </w:rPr>
      </w:pPr>
      <w:r w:rsidRPr="00AD445F">
        <w:rPr>
          <w:rFonts w:ascii="Aptos" w:eastAsia="Aptos" w:hAnsi="Aptos"/>
          <w:lang w:eastAsia="zh-CN"/>
        </w:rPr>
        <w:br w:type="page"/>
      </w:r>
    </w:p>
    <w:p w14:paraId="50A53E72"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6 · VERIFIABLE STORAGE</w:t>
      </w:r>
    </w:p>
    <w:p w14:paraId="6E597B2B"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6.1  Possession, Retrievability, and Service Quality</w:t>
      </w:r>
    </w:p>
    <w:p w14:paraId="79D72611"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 separates three kinds of evidence because a node storing data does not mean it can provide that data completely and in time.</w:t>
      </w:r>
    </w:p>
    <w:p w14:paraId="4DDC4759" w14:textId="77777777" w:rsidR="00724F85" w:rsidRPr="00AD445F" w:rsidRDefault="00000000">
      <w:pPr>
        <w:spacing w:after="40"/>
        <w:jc w:val="center"/>
        <w:rPr>
          <w:rFonts w:ascii="SimSun" w:eastAsia="SimSun" w:hAnsi="SimSun"/>
        </w:rPr>
      </w:pPr>
      <w:r w:rsidRPr="00AD445F">
        <w:rPr>
          <w:rFonts w:ascii="Aptos" w:eastAsia="Aptos" w:hAnsi="Aptos"/>
          <w:noProof/>
        </w:rPr>
        <w:drawing>
          <wp:inline distT="0" distB="0" distL="0" distR="0" wp14:anchorId="4B18DEF1" wp14:editId="142D90A8">
            <wp:extent cx="6372000" cy="39356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of.png"/>
                    <pic:cNvPicPr/>
                  </pic:nvPicPr>
                  <pic:blipFill>
                    <a:blip r:embed="rId12"/>
                    <a:stretch>
                      <a:fillRect/>
                    </a:stretch>
                  </pic:blipFill>
                  <pic:spPr>
                    <a:xfrm>
                      <a:off x="0" y="0"/>
                      <a:ext cx="6372000" cy="3935647"/>
                    </a:xfrm>
                    <a:prstGeom prst="rect">
                      <a:avLst/>
                    </a:prstGeom>
                  </pic:spPr>
                </pic:pic>
              </a:graphicData>
            </a:graphic>
          </wp:inline>
        </w:drawing>
      </w:r>
    </w:p>
    <w:p w14:paraId="16A9EDD6" w14:textId="77777777" w:rsidR="00724F85" w:rsidRPr="00AD445F" w:rsidRDefault="00000000">
      <w:pPr>
        <w:pStyle w:val="WPCaption"/>
        <w:jc w:val="center"/>
        <w:rPr>
          <w:rFonts w:ascii="SimSun" w:eastAsia="SimSun" w:hAnsi="SimSun"/>
          <w:lang w:eastAsia="zh-CN"/>
        </w:rPr>
      </w:pPr>
      <w:r w:rsidRPr="00AD445F">
        <w:rPr>
          <w:rFonts w:ascii="Aptos" w:eastAsia="Aptos" w:hAnsi="Aptos"/>
          <w:lang w:eastAsia="zh-CN"/>
        </w:rPr>
        <w:t>Figure 3 · Possession proofs, retrieval audits, batch anchoring, and repair flow.</w:t>
      </w:r>
    </w:p>
    <w:p w14:paraId="1015EFA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testnet can begin with auditable Merkle sampling: a random seed is bound to the contract, node, and epoch to derive challenged leaf indexes; the node returns sampled leaves or aggregates, Merkle paths, and a signature; multiple verifiers review the responses and aggregate many conclusions into a batch anchored on Solana.</w:t>
      </w:r>
    </w:p>
    <w:p w14:paraId="34989DE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As the network scales, SOVRA can evaluate audited PDP, PoR, or more compact aggregated proofs. PDP allows a client to verify through random sampling that a third party still holds data, while PoR places greater emphasis on the ability to reconstruct a complete file from a server that continues to pass verification. [R15][R16] Until a final scheme has undergone formal analysis and implementation audit, SOVRA should not market candidate mechanisms as completed production-grade proofs.</w:t>
      </w:r>
    </w:p>
    <w:p w14:paraId="5DEDBF5E" w14:textId="77777777" w:rsidR="00050B1D" w:rsidRPr="00AD445F" w:rsidRDefault="00050B1D" w:rsidP="00050B1D">
      <w:pPr>
        <w:rPr>
          <w:rFonts w:ascii="SimSun" w:eastAsia="SimSun" w:hAnsi="SimSun"/>
          <w:lang w:eastAsia="zh-CN"/>
        </w:rPr>
      </w:pPr>
    </w:p>
    <w:p w14:paraId="04D351F1"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6.2  Challenges, Responses, and On-Chain Batching</w:t>
      </w:r>
    </w:p>
    <w:p w14:paraId="39FB4765" w14:textId="77777777" w:rsidR="00724F85" w:rsidRPr="00AD445F" w:rsidRDefault="00000000">
      <w:pPr>
        <w:pStyle w:val="WPDeck"/>
        <w:keepNext/>
        <w:rPr>
          <w:rFonts w:ascii="SimSun" w:eastAsia="SimSun" w:hAnsi="SimSun"/>
          <w:lang w:eastAsia="zh-CN"/>
        </w:rPr>
      </w:pPr>
      <w:r w:rsidRPr="00AD445F">
        <w:rPr>
          <w:rFonts w:ascii="Aptos" w:eastAsia="Aptos" w:hAnsi="Aptos" w:cs="SimSun" w:hint="eastAsia"/>
          <w:lang w:eastAsia="zh-CN"/>
        </w:rPr>
        <w:t>A proof system must balance detection probability, node I/O, network bandwidth, verification cost, on-chain fees, and the risk of false penalties.</w:t>
      </w:r>
    </w:p>
    <w:p w14:paraId="77EEB40C"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Unpredictable Challenges</w:t>
      </w:r>
    </w:p>
    <w:p w14:paraId="1B7E1FB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challenge contains the protocol domain, contract ID, node ID, epoch, expiration time, and random seed. Leaf indexes are deterministically derived from these fields so both verifier and node can recompute them, while the node cannot accurately predict them before the challenge is formed. Domain separation prevents responses from other protocols or older versions from being replayed, and expiration prevents nodes from submitting results long after the fact.</w:t>
      </w:r>
    </w:p>
    <w:p w14:paraId="5093131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lastRenderedPageBreak/>
        <w:t>A node does not need to transmit an entire 4 MB block on every challenge, as in simplified examples. An implementation may subdivide shards into smaller leaves and return a small number of leaves with their Merkle paths, or use audited PDP/PoR tags that aggregate multiple samples into a compact response. Leaf size and sample count must be determined through tests of random disk reads, network cost, and verification cost.</w:t>
      </w:r>
    </w:p>
    <w:p w14:paraId="354FEC8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Multiple Verifiers and Batches</w:t>
      </w:r>
    </w:p>
    <w:p w14:paraId="563230C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single verifier can censor a node, fabricate failure, or collude with it, so settlement should require a threshold of independent verifiers. Within each epoch, verifiers assemble results into a Merkle batch and write only the batch root, participants, time window, and statistical summary to Solana. Raw proofs remain in an auditable archive and can be matched to the on-chain root using inclusion proofs.</w:t>
      </w:r>
    </w:p>
    <w:p w14:paraId="5E869A3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proof result should not immediately become irreversible slashing. The protocol should first freeze the relevant rewards and give nodes and verifiers a window to submit evidence. Only timeouts, repeated failures, or verifiable cheating should trigger heavier penalties. Brief network faults, verifier outages, and protocol-level congestion must be distinguished from actual shard deletion.</w:t>
      </w:r>
    </w:p>
    <w:p w14:paraId="6CD7DC5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Customer-Verifiable Receipts</w:t>
      </w:r>
    </w:p>
    <w:p w14:paraId="302DE38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 object owner can obtain a receipt containing contract state, the latest proof batch, an inclusion proof, and service statistics. The receipt does not require downloading all data, but lets an independent client confirm that the batch used for settlement actually includes the object or node.</w:t>
      </w:r>
    </w:p>
    <w:p w14:paraId="6B7F9D85" w14:textId="77777777" w:rsidR="00050B1D" w:rsidRPr="00AD445F" w:rsidRDefault="00050B1D" w:rsidP="00050B1D">
      <w:pPr>
        <w:rPr>
          <w:rFonts w:ascii="SimSun" w:eastAsia="SimSun" w:hAnsi="SimSun" w:cs="SimSun"/>
          <w:lang w:eastAsia="zh-CN"/>
        </w:rPr>
      </w:pPr>
    </w:p>
    <w:p w14:paraId="19CAD67A"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Proof Size and Verification Cost</w:t>
      </w:r>
    </w:p>
    <w:p w14:paraId="1592D406"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 production design should not require a node to upload an entire shard for each challenge. A small set of indexes is derived from an unpredictable seed; the node returns sampled data symbols, authentication paths, and a contract-bound signature. After checking commitment consistency, verifiers aggregate many results from an epoch into a batch root or concise summary for on-chain anchoring.</w:t>
      </w:r>
    </w:p>
    <w:p w14:paraId="3CDCAB8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Sampling ratio, proof size, and challenge frequency determine the trade-off among bandwidth, verification cost, and miss probability. Parameters must be tiered by object value, contract term, node history, and network risk and determined through public benchmarking rather than copied from intuitive demo code that verifies entire byte blocks.</w:t>
      </w:r>
    </w:p>
    <w:p w14:paraId="78ACCFC6"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6.3  Detection Probability and Verifier Governance</w:t>
      </w:r>
    </w:p>
    <w:p w14:paraId="18ABE38E"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A good proof regime is not one that challenges as often as possible; it continuously detects behavior that threatens recoverability at an affordable cost.</w:t>
      </w:r>
    </w:p>
    <w:p w14:paraId="1545856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Sampling Probability</w:t>
      </w:r>
    </w:p>
    <w:p w14:paraId="271B401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If a node is missing fraction f of its data, each round independently samples s leaves, and t consecutive rounds all miss the missing data, the miss probability can be approximated as (1−f)^(s×t), so the detection probability is 1−(1−f)^(s×t). For example, if a node is missing 10% of leaves, samples 8 leaves per round, and is tested for 5 rounds, the theoretical detection probability is about 98.5%. This simplified expression assumes uniform independent sampling and is intended only to illustrate parameter relationships.</w:t>
      </w:r>
    </w:p>
    <w:p w14:paraId="5B77A33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real attacker may retain only frequently sampled leaves, predict random sources, deploy caches near verifiers, or exploit challenge correlation. The protocol therefore needs to periodically vary sampling, monitor response-time distributions, combine possession proofs with full recovery drills, and prevent verifiers from repeatedly sampling the same small subset of data.</w:t>
      </w:r>
    </w:p>
    <w:p w14:paraId="17BDCA3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Verifier Responsibility</w:t>
      </w:r>
    </w:p>
    <w:p w14:paraId="6703EAF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Verifiers should not merely sign “pass.” They should retain the challenge, response hash, failure category, and timing. Conflicting conclusions, fabricated evidence, or sustained verifier downtime should affect verifier weight and stake. The verifier set should rotate and limit concentration under a single operator or infrastructure provider.</w:t>
      </w:r>
    </w:p>
    <w:p w14:paraId="1C59BBA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lastRenderedPageBreak/>
        <w:t>Randomness and verifier selection can themselves become economic attack surfaces. An early network can use public, recomputable on-chain random material with multi-party domain separation and maximum challenge delay. A long-term design should evaluate verifiable random functions, commit-reveal, or other manipulation-resistant methods, while recognizing that each new cryptographic mechanism increases implementation complexity.</w:t>
      </w:r>
    </w:p>
    <w:p w14:paraId="3981D3A9"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Cost Ceilings</w:t>
      </w:r>
    </w:p>
    <w:p w14:paraId="44A1BEE1"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disk I/O, CPU, and uplink consumed by proofs must not absorb most node service revenue. The protocol should continuously publish proof cost per TB-month, amortized on-chain cost per verification result, and error ranges across different hardware, then adjust frequency using real measurements.</w:t>
      </w:r>
    </w:p>
    <w:p w14:paraId="0C249854" w14:textId="77777777" w:rsidR="00050B1D" w:rsidRPr="00AD445F" w:rsidRDefault="00050B1D" w:rsidP="00050B1D">
      <w:pPr>
        <w:rPr>
          <w:rFonts w:ascii="SimSun" w:eastAsia="SimSun" w:hAnsi="SimSun"/>
          <w:lang w:eastAsia="zh-CN"/>
        </w:rPr>
      </w:pPr>
    </w:p>
    <w:p w14:paraId="72F49924"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Dispute Windows and Reproducible Evidence</w:t>
      </w:r>
    </w:p>
    <w:p w14:paraId="2CA3F6FC"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Every punishable event should produce a minimal evidence bundle: contract and shard identifiers, challenge seed, send time and deadline, node response, verification-rule version, verifier signatures, and batch commitment. Within a limited window, a node may submit counter-evidence of network partition, verification error, or replay attack. Irreversible slashing occurs only after the dispute period ends.</w:t>
      </w:r>
    </w:p>
    <w:p w14:paraId="2946F398"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Verifier rewards should correlate with sampling quality, timeliness, and decision accuracy—not with the number of failures found. Otherwise verifiers may profit from generating false positives. Duplicate voting, abnormal unanimity, and correlated infrastructure should be monitored, and the same evidence bundle should be independently reviewable.</w:t>
      </w:r>
    </w:p>
    <w:p w14:paraId="21FBE417"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6.4  Retrieval Audits and SLA</w:t>
      </w:r>
    </w:p>
    <w:p w14:paraId="5769FFF9"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Possession proofs answer whether a node stores data; retrieval audits answer whether the data can be delivered in time when a real user needs it.</w:t>
      </w:r>
    </w:p>
    <w:p w14:paraId="188DE773"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Independent Retrieval Audits</w:t>
      </w:r>
    </w:p>
    <w:p w14:paraId="16F4E12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Auditors can randomly download test objects, small shards, or encoded segments lasting several seconds and measure time to first byte, throughput, timeout rate, integrity, and concurrency. Periodic full-recovery tests then obtain shards from a random set of k nodes and decode them, verifying that manifests, coding, and the repair chain actually work.</w:t>
      </w:r>
    </w:p>
    <w:p w14:paraId="4B6E356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Service metrics should be published by region, object size, client network, and statistical window. A global average latency says little about the experience of users in Southeast Asia, and protocol-level failures cannot simply be excluded from the statistics. SOVRA should disclose success rate, P50, P95, P99, sample size, exclusion criteria, and test-tool version together.</w:t>
      </w:r>
    </w:p>
    <w:p w14:paraId="5E02F4D9"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Score Possession, Recovery, and Performance Separately</w:t>
      </w:r>
    </w:p>
    <w:p w14:paraId="3278198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node may always pass possession proofs but fail to serve hot data during network congestion; another may read quickly while retaining only popular objects and deleting cold shards. Node scores should therefore include at least possession proofs, random full recovery, retrieval QoS, uptime, bandwidth, historical repair, and penalty records. Different node roles use different weights; an Archive Node does not need the same latency as an Edge Node.</w:t>
      </w:r>
    </w:p>
    <w:p w14:paraId="44780AB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 SLA breach should first affect the revenue associated with that service rather than immediately slash all stake. Severe data loss, fabricated proofs, and repeated denial of service warrant stronger penalties. High-SLA enterprise service can additionally use contractual compensation, insurance reserves, and controlled Professional Nodes rather than relying only on on-chain scoring.</w:t>
      </w:r>
    </w:p>
    <w:p w14:paraId="4C3FCA93"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How Target Values Should Be Used</w:t>
      </w:r>
    </w:p>
    <w:p w14:paraId="464B36C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testnet can set targets for proof success rate, retrieval success rate, regional P95, and repair time, but those numbers must remain labeled as targets until continuous, public, reproducible measurement demonstrates that they are met. Formal service levels should be derived from real network data, not written into marketing material first and imposed on engineering later.</w:t>
      </w:r>
    </w:p>
    <w:p w14:paraId="4E8248AA" w14:textId="77777777" w:rsidR="001400AB" w:rsidRPr="00AD445F" w:rsidRDefault="00000000" w:rsidP="006878AB">
      <w:pPr>
        <w:pStyle w:val="WPH2"/>
        <w:keepNext/>
        <w:rPr>
          <w:rFonts w:ascii="SimSun" w:eastAsia="SimSun" w:hAnsi="SimSun"/>
          <w:lang w:eastAsia="zh-CN"/>
        </w:rPr>
      </w:pPr>
      <w:r w:rsidRPr="00AD445F">
        <w:rPr>
          <w:rFonts w:ascii="Aptos" w:eastAsia="Aptos" w:hAnsi="Aptos"/>
          <w:lang w:eastAsia="zh-CN"/>
        </w:rPr>
        <w:lastRenderedPageBreak/>
        <w:t>Settlement Meaning of the SLA</w:t>
      </w:r>
    </w:p>
    <w:p w14:paraId="772A74B3"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SLA metrics should connect directly to settlement outcomes. Brief jitter can reduce the current service score and trigger service credits; sustained unretrievability can pause revenue and raise repair priority; only well-evidenced loss or fraud should lead to slashing. Treating every failure as malicious would force nodes to bear uncontrollable network risk and would increase false penalties and exits.</w:t>
      </w:r>
    </w:p>
    <w:p w14:paraId="32CBFA27"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network should publish retrieval success rate, P50/P95 latency, proof success rate, repair time, and sample size by service tier, while separating failures caused by the protocol layer, Gateway, and end-user network. SLA numbers without a measurement scope, time window, and sample size are not comparable.</w:t>
      </w:r>
    </w:p>
    <w:p w14:paraId="56487F10" w14:textId="77777777" w:rsidR="006878AB" w:rsidRPr="00AD445F" w:rsidRDefault="006878AB">
      <w:pPr>
        <w:pStyle w:val="WPKicker"/>
        <w:keepNext/>
        <w:rPr>
          <w:rFonts w:ascii="SimSun" w:eastAsia="SimSun" w:hAnsi="SimSun"/>
          <w:lang w:eastAsia="zh-CN"/>
        </w:rPr>
      </w:pPr>
      <w:r w:rsidRPr="00AD445F">
        <w:rPr>
          <w:rFonts w:ascii="Aptos" w:eastAsia="Aptos" w:hAnsi="Aptos"/>
          <w:lang w:eastAsia="zh-CN"/>
        </w:rPr>
        <w:br w:type="page"/>
      </w:r>
    </w:p>
    <w:p w14:paraId="363F5AEF"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7 · NODE NETWORK</w:t>
      </w:r>
    </w:p>
    <w:p w14:paraId="37905FA9"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7.1  Different Roles Carry Different Service Responsibilities</w:t>
      </w:r>
    </w:p>
    <w:p w14:paraId="38B2B242"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Nodes may be operated by home users, professional operators, data centers, and regional partners, but open participation must be paired with verifiable responsibility.</w:t>
      </w:r>
    </w:p>
    <w:p w14:paraId="3A6D5BF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Storage and Edge Nodes</w:t>
      </w:r>
    </w:p>
    <w:p w14:paraId="106E6309"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Standard Node stores general encoded shards and is optimized for stable uptime, verifiable capacity, and cost efficiency. A Professional Node serves high-SLA, data-residency, and enterprise contracts and therefore requires more stable networking, redundant power, stronger collateral, and clearer operating responsibility. An Archive Node is optimized for low-frequency, long-term data and may tolerate slower reads. An Edge Node sits closer to users and provides hot caching, low-latency retrieval, and higher bandwidth.</w:t>
      </w:r>
    </w:p>
    <w:p w14:paraId="75DA023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Retrieval can overlap with storage nodes or be handled by independent cache nodes. Fully binding retrieval to long-term storage may force high-capacity, low-cost nodes to absorb network costs that do not fit their role. Role separation allows regional Edge nodes to cache only hot ciphertext while filling misses from backend storage nodes.</w:t>
      </w:r>
    </w:p>
    <w:p w14:paraId="47950AA5" w14:textId="77777777" w:rsidR="00724F85" w:rsidRPr="00AD445F" w:rsidRDefault="00000000">
      <w:pPr>
        <w:pStyle w:val="WPH2"/>
        <w:keepNext/>
        <w:rPr>
          <w:rFonts w:ascii="SimSun" w:eastAsia="SimSun" w:hAnsi="SimSun"/>
        </w:rPr>
      </w:pPr>
      <w:r w:rsidRPr="00AD445F">
        <w:rPr>
          <w:rFonts w:ascii="Aptos" w:eastAsia="Aptos" w:hAnsi="Aptos"/>
        </w:rPr>
        <w:t>Verification, Repair, and Gateways</w:t>
      </w:r>
    </w:p>
    <w:p w14:paraId="3BC63B07" w14:textId="77777777" w:rsidR="00724F85" w:rsidRPr="00AD445F" w:rsidRDefault="00000000">
      <w:pPr>
        <w:pStyle w:val="WPBody"/>
        <w:rPr>
          <w:rFonts w:ascii="SimSun" w:eastAsia="SimSun" w:hAnsi="SimSun"/>
          <w:lang w:eastAsia="zh-CN"/>
        </w:rPr>
      </w:pPr>
      <w:r w:rsidRPr="00AD445F">
        <w:rPr>
          <w:rFonts w:ascii="Aptos" w:eastAsia="Aptos" w:hAnsi="Aptos"/>
        </w:rPr>
        <w:t>A Verifier derives challenges, checks proofs, aggregates results, and participates in disputes. A Repair Node or repair service rebuilds shards when redundancy falls below the low-water mark. A Gateway provides APIs, authentication, billing, indexing, and compatibility. These roles handle different state and risk and therefore require distinct staking, monitoring, key-management, and exit rules.</w:t>
      </w:r>
    </w:p>
    <w:p w14:paraId="3ED3424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should not publish one “minimum hardware specification” and pretend that all nodes are homogeneous. The project should provide benchmark tools that measure usable capacity, random reads, sequential throughput, proof time, uplink, clock behavior, and stability, then admit nodes to different service tiers according to demonstrated capability.</w:t>
      </w:r>
    </w:p>
    <w:p w14:paraId="49A2634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Maturity and Capacity Limits</w:t>
      </w:r>
    </w:p>
    <w:p w14:paraId="75C676B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new node should first store low-value test data during an observation period and accumulate proof and bandwidth history. It then enters restricted production with a capacity cap. Only nodes that continuously meet the metrics receive standard routing weight. High-SLA nodes also require legal agreements, independent monitoring, and recovery drills. Gradually expanding responsibility is safer than attracting large numbers of unknown nodes all at once with high rewards.</w:t>
      </w:r>
    </w:p>
    <w:p w14:paraId="59C492CF" w14:textId="77777777" w:rsidR="00050B1D" w:rsidRPr="00AD445F" w:rsidRDefault="00050B1D" w:rsidP="00050B1D">
      <w:pPr>
        <w:rPr>
          <w:rFonts w:ascii="SimSun" w:eastAsia="SimSun" w:hAnsi="SimSun"/>
          <w:lang w:eastAsia="zh-CN"/>
        </w:rPr>
      </w:pPr>
    </w:p>
    <w:p w14:paraId="6540EAAF"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Node Admission and Role Upgrades</w:t>
      </w:r>
    </w:p>
    <w:p w14:paraId="06783377"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After registration, a node must still pass capacity, disk-stability, sustained-bandwidth, clock, proof, and retrieval tests. A Community Node can begin with smaller orders and lower-risk service; after accumulating sufficient history, increasing stake, and disclosing its operator and failure domains, it can move into Professional or Edge tiers.</w:t>
      </w:r>
    </w:p>
    <w:p w14:paraId="4C5B0152"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Admission should not be based only on a hardware checklist. The protocol must continuously verify actual capability and prevent one controlling entity from splitting nodes into multiple identities to bypass concentration limits. Enterprise residency or high-value data may also require contracts, insurance, audits, and an explicit jurisdiction; those responsibilities cannot be replaced by an on-chain address alone.</w:t>
      </w:r>
    </w:p>
    <w:p w14:paraId="5A4E7D41"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7.2  Geographic Distribution Must Cross Real Failure Domains</w:t>
      </w:r>
    </w:p>
    <w:p w14:paraId="102817FC"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Multiple wallets, multiple node processes, or multiple racks do not automatically represent independent supply. The network must recognize common operators and shared infrastructure.</w:t>
      </w:r>
    </w:p>
    <w:p w14:paraId="6D2CCB3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Hard Routing Constraints</w:t>
      </w:r>
    </w:p>
    <w:p w14:paraId="6A7C6D9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client first specifies region, residency, term, coding, SLA, budget, and node policy. The router may rank only candidates that satisfy those hard constraints. A high-scoring node cannot override a data-residency or concentration limit, and a low price cannot substitute for the recovery threshold or reliability.</w:t>
      </w:r>
    </w:p>
    <w:p w14:paraId="42863D9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Each object should cap the number of shards held by the same legal entity, payment aggregation account, ASN, IP range, cloud provider, facility, power domain, and software version. High-value tiers should also consider disk batches and node-client versions to reduce correlated failure from common firmware or automated updates.</w:t>
      </w:r>
    </w:p>
    <w:p w14:paraId="32F66323"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Scoring and Explainability</w:t>
      </w:r>
    </w:p>
    <w:p w14:paraId="31460AE9"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Candidate scoring can combine reliability, proof success rate, retrieval QoS, failure-domain diversity, price, historical penalties, and remaining capacity. Weights should be versioned, published, and back-tested on historical data. The Router should return not only a node list but also a summary of why each node was selected—region, price, reliability, or another reason.</w:t>
      </w:r>
    </w:p>
    <w:p w14:paraId="671D544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To prevent a centralized router from persistently favoring affiliated nodes, clients should support custom policies or multiple routing implementations. Off-chain analyzers can compare actual order allocation with published rules. If affiliated nodes use multiple identities to masquerade as independent operators, the protocol should reduce their combined weight.</w:t>
      </w:r>
    </w:p>
    <w:p w14:paraId="6B36F42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Limits of Location Proof</w:t>
      </w:r>
    </w:p>
    <w:p w14:paraId="36410CC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IP addresses, latency, and carrier information provide only probabilistic geographic signals. Enterprise customers that require legally meaningful data residency need controlled Professional Nodes, contracts, third-party audits, and operating records rather than solely relying on on-chain self-declarations.</w:t>
      </w:r>
    </w:p>
    <w:p w14:paraId="7894FABF" w14:textId="77777777" w:rsidR="006878AB" w:rsidRPr="00AD445F" w:rsidRDefault="006878AB">
      <w:pPr>
        <w:pStyle w:val="WPBody"/>
        <w:rPr>
          <w:rFonts w:ascii="SimSun" w:eastAsia="SimSun" w:hAnsi="SimSun"/>
          <w:lang w:eastAsia="zh-CN"/>
        </w:rPr>
      </w:pPr>
    </w:p>
    <w:p w14:paraId="06646F45" w14:textId="77777777" w:rsidR="00724F85" w:rsidRPr="00AD445F" w:rsidRDefault="00000000" w:rsidP="006878AB">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7.3  Durability Is a Continuously Operated Service</w:t>
      </w:r>
    </w:p>
    <w:p w14:paraId="560D6389" w14:textId="77777777" w:rsidR="00724F85" w:rsidRPr="00AD445F" w:rsidRDefault="00000000">
      <w:pPr>
        <w:pStyle w:val="WPDeck"/>
        <w:keepNext/>
        <w:rPr>
          <w:rFonts w:ascii="SimSun" w:eastAsia="SimSun" w:hAnsi="SimSun"/>
          <w:lang w:eastAsia="zh-CN"/>
        </w:rPr>
      </w:pPr>
      <w:r w:rsidRPr="00AD445F">
        <w:rPr>
          <w:rFonts w:ascii="Aptos" w:eastAsia="Aptos" w:hAnsi="Aptos" w:cs="SimSun" w:hint="eastAsia"/>
          <w:lang w:eastAsia="zh-CN"/>
        </w:rPr>
        <w:t>The network must proactively rebuild when redundancy declines while respecting the user’s retention period, region, and deletion choices.</w:t>
      </w:r>
    </w:p>
    <w:p w14:paraId="5AB064D2"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Repair Controller</w:t>
      </w:r>
    </w:p>
    <w:p w14:paraId="3C18B54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When a node is briefly offline, the reader should first switch to other sources rather than immediately trigger large-scale repair. When possession proofs keep failing, a node exits, or regional risk rises, the controller evaluates whether valid shards have fallen below the safety buffer. If repair is needed, it reconstructs the object from any healthy k shards or performs repair in the coding domain, generates the missing shards, and routes them to new independent nodes.</w:t>
      </w:r>
    </w:p>
    <w:p w14:paraId="1AEEB78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After a new node confirms availability, contract references are updated and the old node stops receiving future fees. Repair tasks carry an idempotent ID, priority, bandwidth budget, and maximum concurrency so that a regional incident does not trigger a repair storm that overwhelms the remaining healthy nodes.</w:t>
      </w:r>
    </w:p>
    <w:p w14:paraId="5303E7B2"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Expiration and Exit</w:t>
      </w:r>
    </w:p>
    <w:p w14:paraId="57DC8B3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 xml:space="preserve">Before a contract expires, users can renew, migrate, downgrade, or terminate it. After renewal stops, the network withdraws routing, stops settlement, and sends shard-deletion requests to controlled nodes. A node that exits must pass </w:t>
      </w:r>
      <w:r w:rsidRPr="00AD445F">
        <w:rPr>
          <w:rFonts w:ascii="Aptos" w:eastAsia="Aptos" w:hAnsi="Aptos"/>
          <w:lang w:eastAsia="zh-CN"/>
        </w:rPr>
        <w:lastRenderedPageBreak/>
        <w:t>through a cooldown period and cannot immediately withdraw all collateral before its shards have been successfully migrated.</w:t>
      </w:r>
    </w:p>
    <w:p w14:paraId="42D5272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Users may also revoke access while continuing to store ciphertext. After revoking a key envelope or capability, nodes do not need to move data; reauthorization only requires a new key wrapper. This separation keeps permission changes from causing mass re-uploads.</w:t>
      </w:r>
    </w:p>
    <w:p w14:paraId="064CC8A9"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The Honest Boundary of Deletion</w:t>
      </w:r>
    </w:p>
    <w:p w14:paraId="4ABAB0A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can record deletion requests, node acknowledgments, index removal, and key destruction, making controlled ciphertext practically inaccessible. But the system cannot prove that a recipient or malicious node never copied the content. “Cryptographic deletion” must therefore state its assumptions and cannot be described as absolute disappearance.</w:t>
      </w:r>
    </w:p>
    <w:p w14:paraId="77186F94" w14:textId="77777777" w:rsidR="00050B1D" w:rsidRPr="00AD445F" w:rsidRDefault="00050B1D" w:rsidP="00050B1D">
      <w:pPr>
        <w:rPr>
          <w:rFonts w:ascii="SimSun" w:eastAsia="SimSun" w:hAnsi="SimSun"/>
          <w:lang w:eastAsia="zh-CN"/>
        </w:rPr>
      </w:pPr>
    </w:p>
    <w:p w14:paraId="7F7D6A56"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7.4  Service Pricing Should Reflect Resources and SLA, Not Token Sentiment</w:t>
      </w:r>
    </w:p>
    <w:p w14:paraId="096562E7"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Users purchase capacity, duration, retrieval, recovery, and regional requirements. SOVR provides settlement and collateral, but it does not determine the real cost of storage.</w:t>
      </w:r>
    </w:p>
    <w:p w14:paraId="118FDC9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Service Tiers</w:t>
      </w:r>
    </w:p>
    <w:p w14:paraId="570D2CF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Developer tier is for testing and non-critical data, emphasizing low friction and clear APIs. The Standard tier serves general application objects with defined retrieval-success and repair windows. Edge Hot adds regional caching and stronger bandwidth assurance. Durable increases cross-region redundancy and repair priority. Enterprise can integrate KMS, select controlled nodes, contract for residency, and define compensation.</w:t>
      </w:r>
    </w:p>
    <w:p w14:paraId="2F8309D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Coding parameters, latency targets, and repair objectives for each tier should come from test data. A whitepaper can explain the design direction, but a production product must publish measurement methods and service terms rather than present target values as existing SLAs.</w:t>
      </w:r>
    </w:p>
    <w:p w14:paraId="511CB46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Price Composition</w:t>
      </w:r>
    </w:p>
    <w:p w14:paraId="55428C1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Base pricing can be expressed as logical GB-month × coding overhead × SLA rate, plus retrieval bandwidth, requests, and premium services. Bills should separately show logical capacity, redundancy, retrieval, on-chain fees, protocol fees, and subsidies rather than collapsing every cost into an opaque number of tokens.</w:t>
      </w:r>
    </w:p>
    <w:p w14:paraId="75054E0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Nodes may quote by capacity, term, region, and bandwidth, while the protocol publishes market percentiles rather than imposing one global price. The client sets a total budget and price ceiling, and the Router minimizes total cost after satisfying SLA requirements. Long-term contracts need fixed service-unit prices or bounded adjustment rules so short-term SOVR volatility is not directly passed through to users.</w:t>
      </w:r>
    </w:p>
    <w:p w14:paraId="678F7686"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Market Authenticity</w:t>
      </w:r>
    </w:p>
    <w:p w14:paraId="05C2E8F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Protocol subsidies and user discounts must be disclosed separately. A low price created by token rewards cannot be presented as a sustainable long-term cost. SOVRA should continuously compare unsubsidized node revenue, real service fees, and regional resource costs to determine whether the market can operate independently.</w:t>
      </w:r>
    </w:p>
    <w:p w14:paraId="21712AD9" w14:textId="77777777" w:rsidR="001400AB" w:rsidRPr="00AD445F" w:rsidRDefault="00000000" w:rsidP="006878AB">
      <w:pPr>
        <w:pStyle w:val="WPH2"/>
        <w:keepNext/>
        <w:rPr>
          <w:rFonts w:ascii="SimSun" w:eastAsia="SimSun" w:hAnsi="SimSun"/>
          <w:lang w:eastAsia="zh-CN"/>
        </w:rPr>
      </w:pPr>
      <w:r w:rsidRPr="00AD445F">
        <w:rPr>
          <w:rFonts w:ascii="Aptos" w:eastAsia="Aptos" w:hAnsi="Aptos" w:cs="SimSun" w:hint="eastAsia"/>
          <w:lang w:eastAsia="zh-CN"/>
        </w:rPr>
        <w:t>Contract Term and Repricing</w:t>
      </w:r>
    </w:p>
    <w:p w14:paraId="0D8580C1" w14:textId="77777777" w:rsidR="001400AB" w:rsidRPr="00AD445F" w:rsidRDefault="00000000">
      <w:pPr>
        <w:pStyle w:val="WPBody"/>
        <w:rPr>
          <w:rFonts w:ascii="SimSun" w:eastAsia="SimSun" w:hAnsi="SimSun"/>
          <w:lang w:eastAsia="zh-CN"/>
        </w:rPr>
      </w:pPr>
      <w:r w:rsidRPr="00AD445F">
        <w:rPr>
          <w:rFonts w:ascii="Aptos" w:eastAsia="Aptos" w:hAnsi="Aptos" w:cs="SimSun" w:hint="eastAsia"/>
          <w:lang w:eastAsia="zh-CN"/>
        </w:rPr>
        <w:t>Short-term contracts support price discovery and flexible exit; long-term contracts require committed resources, bounded repricing, and early-exit rules. A node cannot unilaterally change an agreed rate after the user has uploaded data. Price changes should take effect at renewal or according to a contractually published index and cap.</w:t>
      </w:r>
    </w:p>
    <w:p w14:paraId="55A92F3F"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Every bill should separate logical capacity, coding overhead, retrieval bandwidth, verification, repair, on-chain amortization, protocol fees, and temporary subsidies. Only by separating subsidies from real service prices can customers and nodes judge whether the network remains sustainable after incentives taper.</w:t>
      </w:r>
    </w:p>
    <w:p w14:paraId="00164896" w14:textId="1D9D6641" w:rsidR="00724F85" w:rsidRPr="00825927" w:rsidRDefault="006878AB">
      <w:pPr>
        <w:pStyle w:val="WPKicker"/>
        <w:keepNext/>
        <w:rPr>
          <w:rFonts w:ascii="SimSun" w:eastAsia="SimSun" w:hAnsi="SimSun"/>
          <w:lang w:eastAsia="zh-CN"/>
        </w:rPr>
      </w:pPr>
      <w:r w:rsidRPr="00AD445F">
        <w:rPr>
          <w:rFonts w:ascii="Aptos" w:eastAsia="Aptos" w:hAnsi="Aptos"/>
          <w:lang w:eastAsia="zh-CN"/>
        </w:rPr>
        <w:br w:type="page"/>
      </w:r>
      <w:r w:rsidR="00000000" w:rsidRPr="00AD445F">
        <w:rPr>
          <w:rFonts w:ascii="Aptos" w:eastAsia="Aptos" w:hAnsi="Aptos"/>
          <w:sz w:val="40"/>
          <w:szCs w:val="40"/>
          <w:lang w:eastAsia="zh-CN"/>
        </w:rPr>
        <w:lastRenderedPageBreak/>
        <w:t>CHAPTER 8 · SOLANA SETTLEMENT LAYER</w:t>
      </w:r>
    </w:p>
    <w:p w14:paraId="71EB4BED"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8.1  On-Chain Commitments, Responsibility, and Fund State</w:t>
      </w:r>
    </w:p>
    <w:p w14:paraId="6ACCAE18"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Solana is well suited to high-value, low-volume state that requires consensus; file content and high-frequency proofs remain off-chain. [R</w:t>
      </w:r>
      <w:proofErr w:type="gramStart"/>
      <w:r w:rsidRPr="00AD445F">
        <w:rPr>
          <w:rFonts w:ascii="Aptos" w:eastAsia="Aptos" w:hAnsi="Aptos"/>
          <w:lang w:eastAsia="zh-CN"/>
        </w:rPr>
        <w:t>1][</w:t>
      </w:r>
      <w:proofErr w:type="gramEnd"/>
      <w:r w:rsidRPr="00AD445F">
        <w:rPr>
          <w:rFonts w:ascii="Aptos" w:eastAsia="Aptos" w:hAnsi="Aptos"/>
          <w:lang w:eastAsia="zh-CN"/>
        </w:rPr>
        <w:t>R</w:t>
      </w:r>
      <w:proofErr w:type="gramStart"/>
      <w:r w:rsidRPr="00AD445F">
        <w:rPr>
          <w:rFonts w:ascii="Aptos" w:eastAsia="Aptos" w:hAnsi="Aptos"/>
          <w:lang w:eastAsia="zh-CN"/>
        </w:rPr>
        <w:t>2][</w:t>
      </w:r>
      <w:proofErr w:type="gramEnd"/>
      <w:r w:rsidRPr="00AD445F">
        <w:rPr>
          <w:rFonts w:ascii="Aptos" w:eastAsia="Aptos" w:hAnsi="Aptos"/>
          <w:lang w:eastAsia="zh-CN"/>
        </w:rPr>
        <w:t>R18]</w:t>
      </w:r>
    </w:p>
    <w:p w14:paraId="493FC4E1"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Candidate Programs</w:t>
      </w:r>
    </w:p>
    <w:p w14:paraId="2E70D6D0"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Node Registry records node keys, roles, stake, and status; Storage Agreement records object or batch commitments, term, price, and escrow; Proof Batch records epoch, batch root, and verifier threshold; Settlement Vault releases fees for completed service and handles refunds; Parameter Registry manages versioned parameters and activation times; Treasury and Governance manage budgets, proposals, and execution queues.</w:t>
      </w:r>
    </w:p>
    <w:p w14:paraId="39EDB2B1"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These programs do not need a separate account for every small object. Multiple objects can be aggregated into user or contract batches, and multiple proofs can be anchored through a Merkle batch. Only in a dispute are the relevant inclusion proof and necessary evidence submitted. Solana transactions have size, compute, and fee limits, and failed transactions may still consume fees, so clients should estimate compute units, set budgets, and support retries. [R2]</w:t>
      </w:r>
    </w:p>
    <w:p w14:paraId="6EED14E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Availability and Fallback</w:t>
      </w:r>
    </w:p>
    <w:p w14:paraId="1848C621"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should not equate the Solana network with a single RPC provider. Clients and services should use multiple independent RPCs and monitor latest blocks, send results, and confirmation divergence. During on-chain congestion, new registrations and settlement may be delayed, but retrieval, export, and off-chain proofs for already stored objects should continue.</w:t>
      </w:r>
    </w:p>
    <w:p w14:paraId="3AE5A76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Escrow must ensure that unspent user balances remain refundable, nodes receive only the portion corresponding to completed service, and the same epoch is never settled twice. During a proof dispute, only the relevant amount should be frozen rather than locking the user’s entire account or blocking retrieval of undisputed objects.</w:t>
      </w:r>
    </w:p>
    <w:p w14:paraId="1753AB81"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Upgrade Authority</w:t>
      </w:r>
    </w:p>
    <w:p w14:paraId="7FE7373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Early programs may retain upgrade and pause authority, but the scope, signature threshold, timelock, and key-rotation procedures must be public. Pausing settlement cannot become a mechanism for the project to control user data; users should still be able to retrieve and migrate ciphertext.</w:t>
      </w:r>
    </w:p>
    <w:p w14:paraId="643E6ADC" w14:textId="77777777" w:rsidR="00050B1D" w:rsidRPr="00AD445F" w:rsidRDefault="00050B1D" w:rsidP="00050B1D">
      <w:pPr>
        <w:rPr>
          <w:rFonts w:ascii="SimSun" w:eastAsia="SimSun" w:hAnsi="SimSun"/>
          <w:lang w:eastAsia="zh-CN"/>
        </w:rPr>
      </w:pPr>
    </w:p>
    <w:p w14:paraId="49965C01" w14:textId="77777777" w:rsidR="001400AB" w:rsidRPr="00AD445F" w:rsidRDefault="00000000">
      <w:pPr>
        <w:pStyle w:val="WPH2"/>
        <w:keepNext/>
        <w:rPr>
          <w:rFonts w:ascii="SimSun" w:eastAsia="SimSun" w:hAnsi="SimSun"/>
        </w:rPr>
      </w:pPr>
      <w:r w:rsidRPr="00AD445F">
        <w:rPr>
          <w:rFonts w:ascii="Aptos" w:eastAsia="Aptos" w:hAnsi="Aptos"/>
        </w:rPr>
        <w:t>Minimal On-Chain State Machine</w:t>
      </w:r>
    </w:p>
    <w:p w14:paraId="2854634A" w14:textId="77777777" w:rsidR="001400AB" w:rsidRPr="00AD445F" w:rsidRDefault="00000000">
      <w:pPr>
        <w:pStyle w:val="WPBody"/>
        <w:rPr>
          <w:rFonts w:ascii="SimSun" w:eastAsia="SimSun" w:hAnsi="SimSun"/>
        </w:rPr>
      </w:pPr>
      <w:r w:rsidRPr="00AD445F">
        <w:rPr>
          <w:rFonts w:ascii="Aptos" w:eastAsia="Aptos" w:hAnsi="Aptos"/>
        </w:rPr>
        <w:t>A storage agreement can express responsibility changes through a limited set of states such as Proposed, Active, Grace, Repairing, Completed, Disputed, and Closed. Every transition is triggered by an explicit event and bound to verifiable evidence and fund consequences. On-chain programs do not store high-frequency telemetry and do not permit backend services to bypass the state machine and modify balances arbitrarily.</w:t>
      </w:r>
    </w:p>
    <w:p w14:paraId="4871C7F4"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Protocol upgrades must record program version, manifest version, and proof-rule version so historical contracts can still be interpreted under the rules in force when they were signed. Upgrades affecting funds, proofs, or authorization semantics should first be validated on testnet and in shadow environments, then activated in stages behind a timelock while preserving the ability to pause new orders without breaking retrieval or exit.</w:t>
      </w:r>
    </w:p>
    <w:p w14:paraId="5010ACB6"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8.2  The Base Layer Can Be Complex; Integration Must Be Simple</w:t>
      </w:r>
    </w:p>
    <w:p w14:paraId="2ABEB07D"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Whether developers can safely upload, retrieve, authorize, and migrate in a short time determines whether SOVRA becomes infrastructure or remains only a protocol concept.</w:t>
      </w:r>
    </w:p>
    <w:p w14:paraId="7085743D" w14:textId="77777777" w:rsidR="00724F85" w:rsidRPr="00AD445F" w:rsidRDefault="00000000">
      <w:pPr>
        <w:pStyle w:val="WPH2"/>
        <w:keepNext/>
        <w:rPr>
          <w:rFonts w:ascii="SimSun" w:eastAsia="SimSun" w:hAnsi="SimSun"/>
        </w:rPr>
      </w:pPr>
      <w:r w:rsidRPr="00AD445F">
        <w:rPr>
          <w:rFonts w:ascii="Aptos" w:eastAsia="Aptos" w:hAnsi="Aptos"/>
        </w:rPr>
        <w:t>Core Interfaces</w:t>
      </w:r>
    </w:p>
    <w:p w14:paraId="4AC93747" w14:textId="77777777" w:rsidR="00724F85" w:rsidRPr="00AD445F" w:rsidRDefault="00000000">
      <w:pPr>
        <w:pStyle w:val="WPBody"/>
        <w:rPr>
          <w:rFonts w:ascii="SimSun" w:eastAsia="SimSun" w:hAnsi="SimSun"/>
        </w:rPr>
      </w:pPr>
      <w:r w:rsidRPr="00AD445F">
        <w:rPr>
          <w:rFonts w:ascii="Aptos" w:eastAsia="Aptos" w:hAnsi="Aptos"/>
        </w:rPr>
        <w:t>The Object API exposes put, get, head, list, version, and delete; the Sharing API exposes grant, revoke, and rotate; the Policy API configures region, SLA, term, and budget; the Receipt API returns contract state, proof batches, and customer-verifiable receipts; and the Migration API exports object manifests, CAR files, or mirror jobs.</w:t>
      </w:r>
    </w:p>
    <w:p w14:paraId="245A870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SDK enables client-side encryption, content verification, idempotent upload, and safe retry by default. If a caller chooses Gateway-side encryption, the product must state clearly that this changes the trust model. Every error should distinguish identity, quoting, node, proof, decoding, key, and on-chain state instead of returning only “upload failed.”</w:t>
      </w:r>
    </w:p>
    <w:p w14:paraId="3FFA97B1"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Tooling Priorities</w:t>
      </w:r>
    </w:p>
    <w:p w14:paraId="0B9A491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TypeScript SDK and CLI should first support browsers, Node.js, and automated workflows. A Rust core can host shared implementations of encryption, coding, CID, and verification to reduce cross-language divergence. The Python SDK serves AI, Agent, and data-pipeline use cases, but must not persist keys by default in a remote notebook. An S3-compatible Gateway helps existing tools migrate with low friction while publishing its compatibility boundaries.</w:t>
      </w:r>
    </w:p>
    <w:p w14:paraId="38F24DB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Developers need a local network, test vectors, simulated nodes, and fault-injection tools so they can validate object and proof flows without spending real assets. Documentation should be organized around tasks rather than modules: first upload, sharing, recovery, migration, key rotation, and incident troubleshooting.</w:t>
      </w:r>
    </w:p>
    <w:p w14:paraId="429B7FC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Real Developer Metrics</w:t>
      </w:r>
    </w:p>
    <w:p w14:paraId="6282C90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Time to first successful encrypted upload, critical-task completion rate, diagnosable-error ratio, migration success rate, SDK crash rate, and documentation task completion are better indicators of product maturity than repository stars, wallet connections, or hackathon registrations.</w:t>
      </w:r>
    </w:p>
    <w:p w14:paraId="4E668DB9" w14:textId="77777777" w:rsidR="001400AB" w:rsidRPr="00AD445F" w:rsidRDefault="00000000" w:rsidP="006878AB">
      <w:pPr>
        <w:pStyle w:val="WPH2"/>
        <w:keepNext/>
        <w:rPr>
          <w:rFonts w:ascii="SimSun" w:eastAsia="SimSun" w:hAnsi="SimSun"/>
          <w:lang w:eastAsia="zh-CN"/>
        </w:rPr>
      </w:pPr>
      <w:r w:rsidRPr="00AD445F">
        <w:rPr>
          <w:rFonts w:ascii="Aptos" w:eastAsia="Aptos" w:hAnsi="Aptos" w:cs="SimSun" w:hint="eastAsia"/>
          <w:lang w:eastAsia="zh-CN"/>
        </w:rPr>
        <w:t>Compatibility and Portability Commitments</w:t>
      </w:r>
    </w:p>
    <w:p w14:paraId="4F57C1EE"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S3 Gateway should publish the APIs it supports, semantic differences, and limitations rather than equating “compatible” with perfect identity across every edge case. The SDK should support repeatable upload, resume, bulk export, verification, retry, and error classification. Migration tools should allow customers to dual-write for a period and verify that objects match across old and new backends.</w:t>
      </w:r>
    </w:p>
    <w:p w14:paraId="74B7AB7D"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 managed Gateway is a convenience product, not the protocol’s only entry point. Users should be able to run a private Gateway, call nodes directly, or choose a third-party provider. Object manifests, key wrappers, access policies, and billing evidence must be exportable. Compatibility becomes data sovereignty only when the exit path truly works.</w:t>
      </w:r>
    </w:p>
    <w:p w14:paraId="453AC70E" w14:textId="77777777" w:rsidR="006878AB" w:rsidRPr="00AD445F" w:rsidRDefault="006878AB">
      <w:pPr>
        <w:pStyle w:val="WPKicker"/>
        <w:keepNext/>
        <w:rPr>
          <w:rFonts w:ascii="SimSun" w:eastAsia="SimSun" w:hAnsi="SimSun"/>
          <w:lang w:eastAsia="zh-CN"/>
        </w:rPr>
      </w:pPr>
      <w:r w:rsidRPr="00AD445F">
        <w:rPr>
          <w:rFonts w:ascii="Aptos" w:eastAsia="Aptos" w:hAnsi="Aptos"/>
          <w:lang w:eastAsia="zh-CN"/>
        </w:rPr>
        <w:br w:type="page"/>
      </w:r>
    </w:p>
    <w:p w14:paraId="7AF34C75"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9 · THREAT MODEL</w:t>
      </w:r>
    </w:p>
    <w:p w14:paraId="62C925AE"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9.1  Open Networks Do Not Automatically Eliminate Trust</w:t>
      </w:r>
    </w:p>
    <w:p w14:paraId="59B763BE"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SOVRA’s security objective is to protect plaintext, keys, object integrity, payments, node identity, and upgrade authority while limiting the damage caused by compromise of any single component.</w:t>
      </w:r>
    </w:p>
    <w:p w14:paraId="6B7A609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Node and Proof Attacks</w:t>
      </w:r>
    </w:p>
    <w:p w14:paraId="50D76DC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Storage nodes may delete low-frequency data, cache only the portions likely to be challenged, overstate capacity, refuse retrieval, or collude with verifiers. Multi-verifier sampling, unpredictable challenges, full-recovery drills, staking, and failure-domain limits work together to reduce these risks. No single proof mechanism can substitute for actual recovery.</w:t>
      </w:r>
    </w:p>
    <w:p w14:paraId="739B095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Sybil attacker may register many nodes so routing appears decentralized. The protocol needs to correlate stake, payment aggregation, autonomous systems, operating entities, and performance patterns, and must limit any one cluster from receiving enough shards to break the recovery threshold.</w:t>
      </w:r>
    </w:p>
    <w:p w14:paraId="1DC2223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Clients and the Software Supply Chain</w:t>
      </w:r>
    </w:p>
    <w:p w14:paraId="3BA7D9D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malicious SDK, dependency package, browser extension, or build system can steal plaintext and keys before encryption. The project should pin dependencies, generate software bills of materials, sign releases, provide reproducible builds, and allow highly sensitive customers to run the cryptographic core in isolated environments. Security review cannot cover smart contracts alone.</w:t>
      </w:r>
    </w:p>
    <w:p w14:paraId="315C237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Economic and Governance Attacks</w:t>
      </w:r>
    </w:p>
    <w:p w14:paraId="36C914F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Oracle manipulation can cause incorrect charging or drain escrow; subsidy farming can manufacture fake demand; vote buying and low participation can allow a small number of holders to control the Treasury. Multi-source pricing, price limits, circuit breakers, related-transaction detection, budget caps, timelocks, and conflict-of-interest disclosure must be treated as seriously as technical security.</w:t>
      </w:r>
    </w:p>
    <w:p w14:paraId="5B375E2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Explicit Non-Guarantees</w:t>
      </w:r>
    </w:p>
    <w:p w14:paraId="76236D4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protocol cannot guarantee that legitimate recipients will never copy data, cannot prove that every physical copy has been erased, cannot automatically satisfy every jurisdiction, and cannot guarantee the price of SOVR or node returns. Publishing what cannot be guaranteed is part of a credible security model.</w:t>
      </w:r>
    </w:p>
    <w:p w14:paraId="48254E8F" w14:textId="77777777" w:rsidR="00050B1D" w:rsidRPr="00AD445F" w:rsidRDefault="00050B1D" w:rsidP="00050B1D">
      <w:pPr>
        <w:rPr>
          <w:rFonts w:ascii="SimSun" w:eastAsia="SimSun" w:hAnsi="SimSun"/>
          <w:lang w:eastAsia="zh-CN"/>
        </w:rPr>
      </w:pPr>
    </w:p>
    <w:p w14:paraId="5A439C23"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9.2  Auditing, Monitoring, and Incident Response</w:t>
      </w:r>
    </w:p>
    <w:p w14:paraId="6EC9E2E6"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Security is not a one-time check before launch. It is a continuous process from design and build through deployment and post-incident review.</w:t>
      </w:r>
    </w:p>
    <w:p w14:paraId="521278E1"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Layered Assessment</w:t>
      </w:r>
    </w:p>
    <w:p w14:paraId="29B43C29"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Cryptographic review examines algorithm use, nonces, key lifecycle, test vectors, and side channels. Protocol review examines challenge randomness, proof soundness, verifier collusion, and repair boundaries. Smart-contract audits examine permissions, escrow, settlement, replay, precision, and upgrades. Application security covers Gateways, SDKs, identity, APIs, rate limits, and the software supply chain.</w:t>
      </w:r>
    </w:p>
    <w:p w14:paraId="0274C45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 xml:space="preserve">Before </w:t>
      </w:r>
      <w:proofErr w:type="spellStart"/>
      <w:r w:rsidRPr="00AD445F">
        <w:rPr>
          <w:rFonts w:ascii="Aptos" w:eastAsia="Aptos" w:hAnsi="Aptos"/>
          <w:lang w:eastAsia="zh-CN"/>
        </w:rPr>
        <w:t>Mainnet</w:t>
      </w:r>
      <w:proofErr w:type="spellEnd"/>
      <w:r w:rsidRPr="00AD445F">
        <w:rPr>
          <w:rFonts w:ascii="Aptos" w:eastAsia="Aptos" w:hAnsi="Aptos"/>
          <w:lang w:eastAsia="zh-CN"/>
        </w:rPr>
        <w:t xml:space="preserve"> Beta, the actual release build should undergo independent review and be retested after fixes. Audit reports should identify the commit, scope, components not covered, critical findings, and remediation status rather than merely displaying an auditor’s logo.</w:t>
      </w:r>
    </w:p>
    <w:p w14:paraId="549E0AF6"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lastRenderedPageBreak/>
        <w:t>Observability and Anomaly Detection</w:t>
      </w:r>
    </w:p>
    <w:p w14:paraId="4E175DC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network should monitor the distribution of proof failures, retrieval latency, repair queues, node concentration, on-chain settlement discrepancies, oracle divergence, Gateway errors, and key operations. Anomalies should be aggregated not only by individual node but also by software version, region, ASN, and operating entity to reveal correlated failures.</w:t>
      </w:r>
    </w:p>
    <w:p w14:paraId="7175870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Telemetry itself can expose objects and user behavior, so it should use anonymous task IDs, minimal fields, and limited retention. Highly sensitive enterprises may run private monitoring and submit only aggregate state.</w:t>
      </w:r>
    </w:p>
    <w:p w14:paraId="44CA6C1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Incident Response</w:t>
      </w:r>
    </w:p>
    <w:p w14:paraId="24A27A8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Incident procedures should cover detection, classification, containment, evidence preservation, customer notification, remediation, recovery, and retrospective review. Emergency pause authority should stop only affected new registrations or settlement where possible and should avoid blocking access to existing data. Vulnerability disclosure, bug bounty processes, key rotation, dependency revocation, and disaster recovery all need to be rehearsed before an incident occurs.</w:t>
      </w:r>
    </w:p>
    <w:tbl>
      <w:tblPr>
        <w:tblW w:w="0" w:type="auto"/>
        <w:jc w:val="center"/>
        <w:tblLayout w:type="fixed"/>
        <w:tblLook w:val="04A0" w:firstRow="1" w:lastRow="0" w:firstColumn="1" w:lastColumn="0" w:noHBand="0" w:noVBand="1"/>
      </w:tblPr>
      <w:tblGrid>
        <w:gridCol w:w="10092"/>
      </w:tblGrid>
      <w:tr w:rsidR="00724F85" w:rsidRPr="00AD445F" w14:paraId="02FF2454" w14:textId="77777777">
        <w:trPr>
          <w:jc w:val="center"/>
        </w:trPr>
        <w:tc>
          <w:tcPr>
            <w:tcW w:w="10092" w:type="dxa"/>
            <w:shd w:val="clear" w:color="auto" w:fill="FFE8E8"/>
            <w:tcMar>
              <w:top w:w="120" w:type="dxa"/>
              <w:left w:w="180" w:type="dxa"/>
              <w:bottom w:w="120" w:type="dxa"/>
              <w:right w:w="180" w:type="dxa"/>
            </w:tcMar>
          </w:tcPr>
          <w:p w14:paraId="0842D59A" w14:textId="77777777" w:rsidR="00724F85" w:rsidRPr="00AD445F" w:rsidRDefault="00000000">
            <w:pPr>
              <w:spacing w:after="60"/>
              <w:rPr>
                <w:rFonts w:ascii="SimSun" w:eastAsia="SimSun" w:hAnsi="SimSun"/>
                <w:lang w:eastAsia="zh-CN"/>
              </w:rPr>
            </w:pPr>
            <w:r w:rsidRPr="00AD445F">
              <w:rPr>
                <w:rFonts w:ascii="Aptos" w:eastAsia="Aptos" w:hAnsi="Aptos"/>
                <w:b/>
                <w:color w:val="B42318"/>
                <w:sz w:val="18"/>
                <w:lang w:eastAsia="zh-CN"/>
              </w:rPr>
              <w:t>Priority</w:t>
            </w:r>
          </w:p>
          <w:p w14:paraId="0709188A" w14:textId="77777777" w:rsidR="00724F85" w:rsidRPr="00AD445F" w:rsidRDefault="00724F85">
            <w:pPr>
              <w:spacing w:after="0" w:line="283" w:lineRule="auto"/>
              <w:rPr>
                <w:rFonts w:ascii="SimSun" w:eastAsia="SimSun" w:hAnsi="SimSun"/>
                <w:lang w:eastAsia="zh-CN"/>
              </w:rPr>
            </w:pPr>
          </w:p>
        </w:tc>
      </w:tr>
    </w:tbl>
    <w:p w14:paraId="112154DA" w14:textId="77777777" w:rsidR="00724F85" w:rsidRPr="00AD445F" w:rsidRDefault="00724F85">
      <w:pPr>
        <w:pStyle w:val="WPSmall"/>
        <w:spacing w:after="0"/>
        <w:rPr>
          <w:rFonts w:ascii="SimSun" w:eastAsia="SimSun" w:hAnsi="SimSun"/>
          <w:lang w:eastAsia="zh-CN"/>
        </w:rPr>
      </w:pPr>
    </w:p>
    <w:p w14:paraId="46C0FABA"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Incident Severity and Response Clocks</w:t>
      </w:r>
    </w:p>
    <w:p w14:paraId="745F7FA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Incident response should classify key leakage, fund risk, data unavailability, proof anomalies, privacy exposure, and ordinary service outages separately. Each class should define detection signals, accountable owners, containment actions, notification deadlines, recovery conditions, and evidence-preservation requirements so that the team does not depend on ad hoc judgment under pressure.</w:t>
      </w:r>
    </w:p>
    <w:p w14:paraId="0EB0C120"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 severe incident may pause new contracts, reward release, or a particular Gateway, but the system should preserve user retrieval, export, and key rotation whenever possible. After recovery, the project should publish a retrospective that omits sensitive details but explains the timeline, impact, root cause, remediation, and prevention measures, with governance tracking any unresolved actions.</w:t>
      </w:r>
    </w:p>
    <w:p w14:paraId="2DED968F"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9.3  Immutable Commitments Do Not Mean Undeletable Data</w:t>
      </w:r>
    </w:p>
    <w:p w14:paraId="0EB5ACB1"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 reduces privacy risk through on-chain minimization, client-side encryption, and separated lifecycles, but actual responsibilities still depend on the product as deployed and the relevant jurisdiction.</w:t>
      </w:r>
    </w:p>
    <w:p w14:paraId="6AAEB360" w14:textId="77777777" w:rsidR="00724F85" w:rsidRPr="00AD445F" w:rsidRDefault="00000000">
      <w:pPr>
        <w:pStyle w:val="WPH2"/>
        <w:keepNext/>
        <w:rPr>
          <w:rFonts w:ascii="SimSun" w:eastAsia="SimSun" w:hAnsi="SimSun"/>
        </w:rPr>
      </w:pPr>
      <w:r w:rsidRPr="00AD445F">
        <w:rPr>
          <w:rFonts w:ascii="Aptos" w:eastAsia="Aptos" w:hAnsi="Aptos"/>
        </w:rPr>
        <w:t>Privacy Design Principles</w:t>
      </w:r>
    </w:p>
    <w:p w14:paraId="4B24691A" w14:textId="77777777" w:rsidR="00724F85" w:rsidRPr="00AD445F" w:rsidRDefault="00000000">
      <w:pPr>
        <w:pStyle w:val="WPBody"/>
        <w:rPr>
          <w:rFonts w:ascii="SimSun" w:eastAsia="SimSun" w:hAnsi="SimSun"/>
        </w:rPr>
      </w:pPr>
      <w:r w:rsidRPr="00AD445F">
        <w:rPr>
          <w:rFonts w:ascii="Aptos" w:eastAsia="Aptos" w:hAnsi="Aptos"/>
        </w:rPr>
        <w:t>By default, SOVRA does not place personal information, filenames, email addresses, precise locations, or permission relationships in public on-chain state. Public accounts contain only irreversible commitments and necessary settlement information. Private objects do not advertise providers through a public DHT; a Gateway resolves encrypted indexes only after authentication; and logs use minimal fields with defined retention periods.</w:t>
      </w:r>
    </w:p>
    <w:p w14:paraId="4EE0F49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Wallet-to-real-identity mappings, on-chain payments, customer support, device information, and access telemetry can all become personal or linkable data. The project needs to define the purpose of collection, lawful basis, authorized viewers, retention period, and deletion process for each category rather than assuming encryption of files eliminates metadata obligations.</w:t>
      </w:r>
    </w:p>
    <w:p w14:paraId="27153A0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Access, Correction, and Deletion</w:t>
      </w:r>
    </w:p>
    <w:p w14:paraId="745EDB5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EU GDPR grants erasure rights under specified conditions, while Singapore’s PDPA requires organizations to cease retention and dispose of personal data when there is no longer a business or legal need. [R13][R14] SOVRA can stop renewal, remove indexes, request shard deletion, revoke capabilities, and destroy controlled keys, but it must still explain which on-chain commitments are immutable, which replicas are controlled by independent nodes, and which exceptions may require continued retention.</w:t>
      </w:r>
    </w:p>
    <w:p w14:paraId="7612053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lastRenderedPageBreak/>
        <w:t>Object content, keys, authorizations, billing records, and legal records should have different retention periods. To support correction rights, applications can create a new version and make the previous version inaccessible rather than attempting to alter the original content commitment.</w:t>
      </w:r>
    </w:p>
    <w:p w14:paraId="2C5F73B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Roles and Cross-Border Processing</w:t>
      </w:r>
    </w:p>
    <w:p w14:paraId="64E7E24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project entity, Gateway operators, enterprise customers, and node operators may each act as controllers, processors, or independent parties. Regional routing can help enforce residency policies, but cross-border legality cannot be inferred from IP location alone; it still requires contracts, processing agreements, audits, and country-specific assessment.</w:t>
      </w:r>
    </w:p>
    <w:p w14:paraId="2EE024EB" w14:textId="77777777" w:rsidR="00050B1D" w:rsidRPr="00AD445F" w:rsidRDefault="00050B1D" w:rsidP="00050B1D">
      <w:pPr>
        <w:rPr>
          <w:rFonts w:ascii="SimSun" w:eastAsia="SimSun" w:hAnsi="SimSun"/>
          <w:lang w:eastAsia="zh-CN"/>
        </w:rPr>
      </w:pPr>
    </w:p>
    <w:p w14:paraId="67F51985"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Metadata Minimization</w:t>
      </w:r>
    </w:p>
    <w:p w14:paraId="40E0EE77"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Client-side encryption protects content but does not automatically hide object size, upload time, IP address, payment relationships, node selection, or read frequency. Gateways and indexing services should collect only the minimum metadata needed to deliver service, set explicit retention periods, and reduce correlation through batching, short-lived tokens, log redaction, and optional privacy routing.</w:t>
      </w:r>
    </w:p>
    <w:p w14:paraId="10291B5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 wallet address is pseudonymous, not anonymous. For personal or sensitive use cases, the product should allow separation of payment identity, access identity, and object namespaces and should explain in the interface what information remains exposed. “On-chain transparency” or “end-to-end encryption” should not be used to obscure residual privacy risk.</w:t>
      </w:r>
    </w:p>
    <w:p w14:paraId="140A4607"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9.4  Encrypted Networks Still Need Abuse Handling and Clear Terms</w:t>
      </w:r>
    </w:p>
    <w:p w14:paraId="692D2C38"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Privacy protection and lawful operation are not contradictory, but content-governance capability should be narrowly scoped and prevented from becoming global censorship.</w:t>
      </w:r>
    </w:p>
    <w:p w14:paraId="05064A99"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The Two Sides of Encryption</w:t>
      </w:r>
    </w:p>
    <w:p w14:paraId="5D68726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Client-side encryption reduces how often nodes can see plaintext, but it also means the protocol cannot proactively understand all content. A Gateway may enforce acceptable-use rules on the users and requests it accepts, but should not require nodes to hold decryption keys. Public objects, known illegal objects, and account behavior can be handled at the object or account layer; private ciphertext is addressed mainly through lawful requests, customer contracts, and the jurisdiction selected for nodes.</w:t>
      </w:r>
    </w:p>
    <w:p w14:paraId="0AFA84D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Node operators need clear guidance on their obligations, what objects they may refuse, how to respond to lawful orders, and how to retain only the minimum necessary evidence. Countries differ in their rules for hosting, caching, copyright, child safety, and law-enforcement assistance, so one vague policy cannot govern every region.</w:t>
      </w:r>
    </w:p>
    <w:p w14:paraId="47C6B2EC"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Protocol-Layer and Product-Layer Responsibilities</w:t>
      </w:r>
    </w:p>
    <w:p w14:paraId="2CCAF5E1"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protocol layer defines objects, contracts, proofs, and settlement; it does not judge whether content is true. Product-layer Gateways, marketplaces, and enterprise services may set admission, reporting, object refusal, and appeal rules based on law and terms of service. Nodes may also declare supported regions and content policies, and the Router can select among them within the user’s policy constraints.</w:t>
      </w:r>
    </w:p>
    <w:p w14:paraId="0147930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Any global refusal list needs provenance, authority, appeals, and transparency reporting so that a small group of governors cannot use it for arbitrary censorship. Refusing service is not the same as deleting data already held by users or third parties, and the whitepaper and terms must distinguish those outcomes.</w:t>
      </w:r>
    </w:p>
    <w:p w14:paraId="31E048A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Token and Commercial Compliance</w:t>
      </w:r>
    </w:p>
    <w:p w14:paraId="0450626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 xml:space="preserve">SOVR’s utility-oriented design does not automatically exclude securities, payments, tax, anti-money-laundering, sanctions, or consumer-protection requirements. Fiat and stable-asset on-ramps, node payments, public sales, staking </w:t>
      </w:r>
      <w:r w:rsidRPr="00AD445F">
        <w:rPr>
          <w:rFonts w:ascii="Aptos" w:eastAsia="Aptos" w:hAnsi="Aptos"/>
          <w:lang w:eastAsia="zh-CN"/>
        </w:rPr>
        <w:lastRenderedPageBreak/>
        <w:t>rewards, and governance can all change the legal analysis. Launch arrangements should be evaluated against the actual entities, fund flows, code, and materials in each market.</w:t>
      </w:r>
    </w:p>
    <w:p w14:paraId="1ADCA536" w14:textId="77777777" w:rsidR="001400AB" w:rsidRPr="00AD445F" w:rsidRDefault="00000000" w:rsidP="006878AB">
      <w:pPr>
        <w:pStyle w:val="WPH2"/>
        <w:keepNext/>
        <w:rPr>
          <w:rFonts w:ascii="SimSun" w:eastAsia="SimSun" w:hAnsi="SimSun"/>
          <w:lang w:eastAsia="zh-CN"/>
        </w:rPr>
      </w:pPr>
      <w:r w:rsidRPr="00AD445F">
        <w:rPr>
          <w:rFonts w:ascii="Aptos" w:eastAsia="Aptos" w:hAnsi="Aptos" w:cs="SimSun" w:hint="eastAsia"/>
          <w:szCs w:val="24"/>
          <w:lang w:eastAsia="zh-CN"/>
        </w:rPr>
        <w:t>Responsibility Can Be Layered, but It Does Not Disappear</w:t>
      </w:r>
    </w:p>
    <w:p w14:paraId="1DBACDE4" w14:textId="77777777" w:rsidR="001400AB" w:rsidRPr="00AD445F" w:rsidRDefault="00000000">
      <w:pPr>
        <w:pStyle w:val="WPBody"/>
        <w:rPr>
          <w:rFonts w:ascii="SimSun" w:eastAsia="SimSun" w:hAnsi="SimSun"/>
          <w:lang w:eastAsia="zh-CN"/>
        </w:rPr>
      </w:pPr>
      <w:r w:rsidRPr="00AD445F">
        <w:rPr>
          <w:rFonts w:ascii="Aptos" w:eastAsia="Aptos" w:hAnsi="Aptos" w:cs="SimSun" w:hint="eastAsia"/>
          <w:lang w:eastAsia="zh-CN"/>
        </w:rPr>
        <w:t>Object owners, uploaders, applications, Gateways, node operators, and protocol governance carry different responsibilities. Nodes usually store only ciphertext shards and cannot infer the complete content, but they may still be subject to infrastructure and lawful-request rules in their jurisdiction. Gateways and applications observe more context and therefore need clearer intake, refusal, and appeal procedures.</w:t>
      </w:r>
    </w:p>
    <w:p w14:paraId="227967AE" w14:textId="1D753EEE" w:rsidR="00825927" w:rsidRDefault="00000000">
      <w:pPr>
        <w:pStyle w:val="WPBody"/>
        <w:rPr>
          <w:rFonts w:ascii="Aptos" w:eastAsia="Aptos" w:hAnsi="Aptos"/>
          <w:lang w:eastAsia="zh-CN"/>
        </w:rPr>
      </w:pPr>
      <w:r w:rsidRPr="00AD445F">
        <w:rPr>
          <w:rFonts w:ascii="Aptos" w:eastAsia="Aptos" w:hAnsi="Aptos"/>
          <w:lang w:eastAsia="zh-CN"/>
        </w:rPr>
        <w:t>Content governance should be targeted at objects, manifests, or service entry points where possible rather than expanding a single dispute into irreversible control over the entire network. Transparency reports should disclose request categories, volumes, and legal bases while protecting user privacy and investigative integrity. Technical decentralization cannot be used to deny real-world responsibility.</w:t>
      </w:r>
      <w:r w:rsidR="00825927">
        <w:rPr>
          <w:rFonts w:ascii="Aptos" w:eastAsia="Aptos" w:hAnsi="Aptos"/>
          <w:lang w:eastAsia="zh-CN"/>
        </w:rPr>
        <w:br w:type="page"/>
      </w:r>
    </w:p>
    <w:p w14:paraId="35FBF2C6" w14:textId="77777777" w:rsidR="001400AB" w:rsidRPr="00825927" w:rsidRDefault="001400AB">
      <w:pPr>
        <w:pStyle w:val="WPBody"/>
        <w:rPr>
          <w:rFonts w:ascii="SimSun" w:eastAsia="SimSun" w:hAnsi="SimSun"/>
          <w:lang w:eastAsia="zh-CN"/>
        </w:rPr>
      </w:pPr>
    </w:p>
    <w:p w14:paraId="268B30C1" w14:textId="77777777" w:rsidR="00724F85" w:rsidRPr="00825927" w:rsidRDefault="006878AB">
      <w:pPr>
        <w:pStyle w:val="WPKicker"/>
        <w:keepNext/>
        <w:rPr>
          <w:rFonts w:ascii="SimSun" w:eastAsia="SimSun" w:hAnsi="SimSun"/>
          <w:sz w:val="40"/>
          <w:szCs w:val="40"/>
          <w:lang w:eastAsia="zh-CN"/>
        </w:rPr>
      </w:pPr>
      <w:r w:rsidRPr="00825927">
        <w:rPr>
          <w:rFonts w:ascii="Aptos" w:eastAsia="Aptos" w:hAnsi="Aptos"/>
          <w:sz w:val="40"/>
          <w:szCs w:val="40"/>
          <w:lang w:eastAsia="zh-CN"/>
        </w:rPr>
        <w:t>CHAPTER 10 · COMPETITIVE LANDSCAPE</w:t>
      </w:r>
    </w:p>
    <w:p w14:paraId="44DA103A" w14:textId="77777777" w:rsidR="00724F85" w:rsidRPr="00AD445F" w:rsidRDefault="00000000">
      <w:pPr>
        <w:pStyle w:val="WPPageTitle"/>
        <w:keepNext/>
        <w:pBdr>
          <w:bottom w:val="single" w:sz="12" w:space="5" w:color="0F766E"/>
        </w:pBdr>
        <w:rPr>
          <w:rFonts w:ascii="SimSun" w:eastAsia="SimSun" w:hAnsi="SimSun"/>
          <w:lang w:eastAsia="zh-CN"/>
        </w:rPr>
      </w:pPr>
      <w:proofErr w:type="gramStart"/>
      <w:r w:rsidRPr="00AD445F">
        <w:rPr>
          <w:rFonts w:ascii="Aptos" w:eastAsia="Aptos" w:hAnsi="Aptos"/>
          <w:lang w:eastAsia="zh-CN"/>
        </w:rPr>
        <w:t>10.1  Decentralized</w:t>
      </w:r>
      <w:proofErr w:type="gramEnd"/>
      <w:r w:rsidRPr="00AD445F">
        <w:rPr>
          <w:rFonts w:ascii="Aptos" w:eastAsia="Aptos" w:hAnsi="Aptos"/>
          <w:lang w:eastAsia="zh-CN"/>
        </w:rPr>
        <w:t xml:space="preserve"> Storage Is Not a Single Product Category</w:t>
      </w:r>
    </w:p>
    <w:p w14:paraId="7CAD546D"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Different networks make different trade-offs among permanence, hot retrieval, privacy, marketplaces, on-chain coordination, and developer experience.</w:t>
      </w:r>
    </w:p>
    <w:p w14:paraId="208CC98B" w14:textId="77777777" w:rsidR="00724F85" w:rsidRPr="00AD445F" w:rsidRDefault="00000000">
      <w:pPr>
        <w:pStyle w:val="WPH2"/>
        <w:keepNext/>
        <w:rPr>
          <w:rFonts w:ascii="SimSun" w:eastAsia="SimSun" w:hAnsi="SimSun"/>
        </w:rPr>
      </w:pPr>
      <w:r w:rsidRPr="00AD445F">
        <w:rPr>
          <w:rFonts w:ascii="Aptos" w:eastAsia="Aptos" w:hAnsi="Aptos"/>
        </w:rPr>
        <w:t>Protocol Primitives and Product Services</w:t>
      </w:r>
    </w:p>
    <w:p w14:paraId="541C9B35" w14:textId="77777777" w:rsidR="00724F85" w:rsidRPr="00AD445F" w:rsidRDefault="00000000">
      <w:pPr>
        <w:pStyle w:val="WPBody"/>
        <w:rPr>
          <w:rFonts w:ascii="SimSun" w:eastAsia="SimSun" w:hAnsi="SimSun"/>
          <w:lang w:eastAsia="zh-CN"/>
        </w:rPr>
      </w:pPr>
      <w:r w:rsidRPr="00AD445F">
        <w:rPr>
          <w:rFonts w:ascii="Aptos" w:eastAsia="Aptos" w:hAnsi="Aptos"/>
        </w:rPr>
        <w:t>IPFS provides primitives for content addressing, routing, and transport. CID and Merkle DAGs offer strong interoperability value, but continued persistence requires providers, pinning, or another economic arrangement. [R3] Filecoin has built a mature proof paradigm around storage markets and PoRep/PoSt, with particular strength in large-scale verifiable storage. [R5] Arweave centers on long-term and permanent information retention, whose data semantics differ from mutable business objects that require expiry, revocation, deletion, and frequent updates. [R8]</w:t>
      </w:r>
    </w:p>
    <w:p w14:paraId="687B258E" w14:textId="77777777" w:rsidR="00724F85" w:rsidRPr="00AD445F" w:rsidRDefault="00000000">
      <w:pPr>
        <w:pStyle w:val="WPBody"/>
        <w:rPr>
          <w:rFonts w:ascii="SimSun" w:eastAsia="SimSun" w:hAnsi="SimSun"/>
          <w:lang w:eastAsia="zh-CN"/>
        </w:rPr>
      </w:pPr>
      <w:proofErr w:type="spellStart"/>
      <w:r w:rsidRPr="00AD445F">
        <w:rPr>
          <w:rFonts w:ascii="Aptos" w:eastAsia="Aptos" w:hAnsi="Aptos"/>
          <w:lang w:eastAsia="zh-CN"/>
        </w:rPr>
        <w:t>Storj</w:t>
      </w:r>
      <w:proofErr w:type="spellEnd"/>
      <w:r w:rsidRPr="00AD445F">
        <w:rPr>
          <w:rFonts w:ascii="Aptos" w:eastAsia="Aptos" w:hAnsi="Aptos"/>
          <w:lang w:eastAsia="zh-CN"/>
        </w:rPr>
        <w:t xml:space="preserve"> combines client-side encryption, erasure coding, Satellite coordination, and an S3-style experience and is an important reference for hot data and productized distributed storage. [R6] Sia uses file contracts between renters and hosts, demonstrating an open host market and on-chain performance. [R9] Walrus uses Sui to coordinate erasure-coded blobs and availability certificates; its public-blob design differs from SOVRA’s default direction of private objects. [R7]</w:t>
      </w:r>
    </w:p>
    <w:p w14:paraId="575CA89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Traditional Cloud Is Still the Primary Alternative</w:t>
      </w:r>
    </w:p>
    <w:p w14:paraId="18BD0AF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Most customers will not choose among several decentralized protocols. They will choose between “keep using the current cloud” and “introduce another infrastructure layer.” SOVRA therefore needs to compare itself with traditional services on integration cost, retrieval, billing, support, portability, and responsibility—not only with on-chain projects.</w:t>
      </w:r>
    </w:p>
    <w:p w14:paraId="275B6D18"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Discipline in Comparison</w:t>
      </w:r>
    </w:p>
    <w:p w14:paraId="7974FBB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Protocol capabilities, official managed products, and third-party services must be separated. Public comparisons should state the comparison date, version, and source and should not present roadmap functions as existing capability. Performance and price should also be tested with the same object size, region, redundancy, and retrieval conditions.</w:t>
      </w:r>
    </w:p>
    <w:p w14:paraId="17EAB9E9" w14:textId="77777777" w:rsidR="00050B1D" w:rsidRPr="00AD445F" w:rsidRDefault="00050B1D" w:rsidP="00050B1D">
      <w:pPr>
        <w:rPr>
          <w:rFonts w:ascii="SimSun" w:eastAsia="SimSun" w:hAnsi="SimSun"/>
          <w:lang w:eastAsia="zh-CN"/>
        </w:rPr>
      </w:pPr>
    </w:p>
    <w:p w14:paraId="22EAEC4C"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10.2  High-Level Capability Comparison</w:t>
      </w:r>
    </w:p>
    <w:p w14:paraId="2977F27B"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This table illustrates major design orientations and is not a complete rating. Capabilities of each protocol should be checked against its latest official documentation.</w:t>
      </w:r>
    </w:p>
    <w:tbl>
      <w:tblPr>
        <w:tblW w:w="10095" w:type="dxa"/>
        <w:jc w:val="center"/>
        <w:tblLayout w:type="fixed"/>
        <w:tblLook w:val="04A0" w:firstRow="1" w:lastRow="0" w:firstColumn="1" w:lastColumn="0" w:noHBand="0" w:noVBand="1"/>
      </w:tblPr>
      <w:tblGrid>
        <w:gridCol w:w="2298"/>
        <w:gridCol w:w="2375"/>
        <w:gridCol w:w="2685"/>
        <w:gridCol w:w="2737"/>
      </w:tblGrid>
      <w:tr w:rsidR="00724F85" w:rsidRPr="00AD445F" w14:paraId="4EA20A2B" w14:textId="77777777" w:rsidTr="00050B1D">
        <w:trPr>
          <w:trHeight w:val="265"/>
          <w:tblHeader/>
          <w:jc w:val="center"/>
        </w:trPr>
        <w:tc>
          <w:tcPr>
            <w:tcW w:w="2298" w:type="dxa"/>
            <w:shd w:val="clear" w:color="auto" w:fill="142033"/>
            <w:tcMar>
              <w:top w:w="85" w:type="dxa"/>
              <w:left w:w="100" w:type="dxa"/>
              <w:bottom w:w="85" w:type="dxa"/>
              <w:right w:w="100" w:type="dxa"/>
            </w:tcMar>
            <w:vAlign w:val="center"/>
          </w:tcPr>
          <w:p w14:paraId="799E2E79" w14:textId="77777777" w:rsidR="00724F85" w:rsidRPr="00AD445F" w:rsidRDefault="00000000">
            <w:pPr>
              <w:spacing w:after="0"/>
              <w:rPr>
                <w:rFonts w:ascii="SimSun" w:eastAsia="SimSun" w:hAnsi="SimSun"/>
              </w:rPr>
            </w:pPr>
            <w:r w:rsidRPr="00AD445F">
              <w:rPr>
                <w:rFonts w:ascii="Aptos" w:eastAsia="Aptos" w:hAnsi="Aptos"/>
                <w:b/>
                <w:color w:val="FFFFFF"/>
                <w:sz w:val="14"/>
              </w:rPr>
              <w:t>Approach</w:t>
            </w:r>
          </w:p>
        </w:tc>
        <w:tc>
          <w:tcPr>
            <w:tcW w:w="2375" w:type="dxa"/>
            <w:shd w:val="clear" w:color="auto" w:fill="142033"/>
            <w:tcMar>
              <w:top w:w="85" w:type="dxa"/>
              <w:left w:w="100" w:type="dxa"/>
              <w:bottom w:w="85" w:type="dxa"/>
              <w:right w:w="100" w:type="dxa"/>
            </w:tcMar>
            <w:vAlign w:val="center"/>
          </w:tcPr>
          <w:p w14:paraId="4469D756" w14:textId="77777777" w:rsidR="00724F85" w:rsidRPr="00AD445F" w:rsidRDefault="00000000">
            <w:pPr>
              <w:spacing w:after="0"/>
              <w:rPr>
                <w:rFonts w:ascii="SimSun" w:eastAsia="SimSun" w:hAnsi="SimSun"/>
              </w:rPr>
            </w:pPr>
            <w:r w:rsidRPr="00AD445F">
              <w:rPr>
                <w:rFonts w:ascii="Aptos" w:eastAsia="Aptos" w:hAnsi="Aptos"/>
                <w:b/>
                <w:color w:val="FFFFFF"/>
                <w:sz w:val="14"/>
              </w:rPr>
              <w:t>Primary Semantics</w:t>
            </w:r>
          </w:p>
        </w:tc>
        <w:tc>
          <w:tcPr>
            <w:tcW w:w="2685" w:type="dxa"/>
            <w:shd w:val="clear" w:color="auto" w:fill="142033"/>
            <w:tcMar>
              <w:top w:w="85" w:type="dxa"/>
              <w:left w:w="100" w:type="dxa"/>
              <w:bottom w:w="85" w:type="dxa"/>
              <w:right w:w="100" w:type="dxa"/>
            </w:tcMar>
            <w:vAlign w:val="center"/>
          </w:tcPr>
          <w:p w14:paraId="2B76CFFE" w14:textId="77777777" w:rsidR="00724F85" w:rsidRPr="00AD445F" w:rsidRDefault="00000000">
            <w:pPr>
              <w:spacing w:after="0"/>
              <w:rPr>
                <w:rFonts w:ascii="SimSun" w:eastAsia="SimSun" w:hAnsi="SimSun"/>
              </w:rPr>
            </w:pPr>
            <w:r w:rsidRPr="00AD445F">
              <w:rPr>
                <w:rFonts w:ascii="Aptos" w:eastAsia="Aptos" w:hAnsi="Aptos"/>
                <w:b/>
                <w:color w:val="FFFFFF"/>
                <w:sz w:val="14"/>
              </w:rPr>
              <w:t>Standout Capability</w:t>
            </w:r>
          </w:p>
        </w:tc>
        <w:tc>
          <w:tcPr>
            <w:tcW w:w="2737" w:type="dxa"/>
            <w:shd w:val="clear" w:color="auto" w:fill="142033"/>
            <w:tcMar>
              <w:top w:w="85" w:type="dxa"/>
              <w:left w:w="100" w:type="dxa"/>
              <w:bottom w:w="85" w:type="dxa"/>
              <w:right w:w="100" w:type="dxa"/>
            </w:tcMar>
            <w:vAlign w:val="center"/>
          </w:tcPr>
          <w:p w14:paraId="0815FD46" w14:textId="77777777" w:rsidR="00724F85" w:rsidRPr="00AD445F" w:rsidRDefault="00000000">
            <w:pPr>
              <w:spacing w:after="0"/>
              <w:rPr>
                <w:rFonts w:ascii="SimSun" w:eastAsia="SimSun" w:hAnsi="SimSun"/>
              </w:rPr>
            </w:pPr>
            <w:r w:rsidRPr="00AD445F">
              <w:rPr>
                <w:rFonts w:ascii="Aptos" w:eastAsia="Aptos" w:hAnsi="Aptos"/>
                <w:b/>
                <w:color w:val="FFFFFF"/>
                <w:sz w:val="14"/>
              </w:rPr>
              <w:t>SOVRA Target Differentiation</w:t>
            </w:r>
          </w:p>
        </w:tc>
      </w:tr>
      <w:tr w:rsidR="00724F85" w:rsidRPr="00AD445F" w14:paraId="54416E6F" w14:textId="77777777" w:rsidTr="00050B1D">
        <w:trPr>
          <w:cantSplit/>
          <w:trHeight w:val="227"/>
          <w:jc w:val="center"/>
        </w:trPr>
        <w:tc>
          <w:tcPr>
            <w:tcW w:w="2298" w:type="dxa"/>
            <w:tcMar>
              <w:top w:w="70" w:type="dxa"/>
              <w:left w:w="95" w:type="dxa"/>
              <w:bottom w:w="70" w:type="dxa"/>
              <w:right w:w="95" w:type="dxa"/>
            </w:tcMar>
            <w:vAlign w:val="center"/>
          </w:tcPr>
          <w:p w14:paraId="396D061D" w14:textId="77777777" w:rsidR="00724F85" w:rsidRPr="00AD445F" w:rsidRDefault="00000000">
            <w:pPr>
              <w:spacing w:after="0" w:line="264" w:lineRule="auto"/>
              <w:rPr>
                <w:rFonts w:ascii="SimSun" w:eastAsia="SimSun" w:hAnsi="SimSun"/>
              </w:rPr>
            </w:pPr>
            <w:r w:rsidRPr="00AD445F">
              <w:rPr>
                <w:rFonts w:ascii="Aptos" w:eastAsia="Aptos" w:hAnsi="Aptos"/>
                <w:sz w:val="14"/>
              </w:rPr>
              <w:t>Traditional Cloud</w:t>
            </w:r>
          </w:p>
        </w:tc>
        <w:tc>
          <w:tcPr>
            <w:tcW w:w="2375" w:type="dxa"/>
            <w:tcMar>
              <w:top w:w="70" w:type="dxa"/>
              <w:left w:w="95" w:type="dxa"/>
              <w:bottom w:w="70" w:type="dxa"/>
              <w:right w:w="95" w:type="dxa"/>
            </w:tcMar>
            <w:vAlign w:val="center"/>
          </w:tcPr>
          <w:p w14:paraId="26904EFE" w14:textId="77777777" w:rsidR="00724F85" w:rsidRPr="00AD445F" w:rsidRDefault="00000000">
            <w:pPr>
              <w:spacing w:after="0" w:line="264" w:lineRule="auto"/>
              <w:rPr>
                <w:rFonts w:ascii="SimSun" w:eastAsia="SimSun" w:hAnsi="SimSun"/>
              </w:rPr>
            </w:pPr>
            <w:r w:rsidRPr="00AD445F">
              <w:rPr>
                <w:rFonts w:ascii="Aptos" w:eastAsia="Aptos" w:hAnsi="Aptos"/>
                <w:sz w:val="14"/>
              </w:rPr>
              <w:t>Centralized object service</w:t>
            </w:r>
          </w:p>
        </w:tc>
        <w:tc>
          <w:tcPr>
            <w:tcW w:w="2685" w:type="dxa"/>
            <w:tcMar>
              <w:top w:w="70" w:type="dxa"/>
              <w:left w:w="95" w:type="dxa"/>
              <w:bottom w:w="70" w:type="dxa"/>
              <w:right w:w="95" w:type="dxa"/>
            </w:tcMar>
            <w:vAlign w:val="center"/>
          </w:tcPr>
          <w:p w14:paraId="0933328E"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Mature SLAs, tooling, and enterprise ecosystem</w:t>
            </w:r>
          </w:p>
        </w:tc>
        <w:tc>
          <w:tcPr>
            <w:tcW w:w="2737" w:type="dxa"/>
            <w:tcMar>
              <w:top w:w="70" w:type="dxa"/>
              <w:left w:w="95" w:type="dxa"/>
              <w:bottom w:w="70" w:type="dxa"/>
              <w:right w:w="95" w:type="dxa"/>
            </w:tcMar>
            <w:vAlign w:val="center"/>
          </w:tcPr>
          <w:p w14:paraId="0C27219E"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Open supply, user-controlled keys, independent verification, and migration</w:t>
            </w:r>
          </w:p>
        </w:tc>
      </w:tr>
      <w:tr w:rsidR="00724F85" w:rsidRPr="00AD445F" w14:paraId="0D581FB5" w14:textId="77777777" w:rsidTr="00050B1D">
        <w:trPr>
          <w:cantSplit/>
          <w:trHeight w:val="246"/>
          <w:jc w:val="center"/>
        </w:trPr>
        <w:tc>
          <w:tcPr>
            <w:tcW w:w="2298" w:type="dxa"/>
            <w:shd w:val="clear" w:color="auto" w:fill="F3F6F9"/>
            <w:tcMar>
              <w:top w:w="70" w:type="dxa"/>
              <w:left w:w="95" w:type="dxa"/>
              <w:bottom w:w="70" w:type="dxa"/>
              <w:right w:w="95" w:type="dxa"/>
            </w:tcMar>
            <w:vAlign w:val="center"/>
          </w:tcPr>
          <w:p w14:paraId="6D366F77" w14:textId="77777777" w:rsidR="00724F85" w:rsidRPr="00AD445F" w:rsidRDefault="00000000">
            <w:pPr>
              <w:spacing w:after="0" w:line="264" w:lineRule="auto"/>
              <w:rPr>
                <w:rFonts w:ascii="SimSun" w:eastAsia="SimSun" w:hAnsi="SimSun"/>
              </w:rPr>
            </w:pPr>
            <w:r w:rsidRPr="00AD445F">
              <w:rPr>
                <w:rFonts w:ascii="Aptos" w:eastAsia="Aptos" w:hAnsi="Aptos"/>
                <w:sz w:val="14"/>
              </w:rPr>
              <w:t>IPFS</w:t>
            </w:r>
          </w:p>
        </w:tc>
        <w:tc>
          <w:tcPr>
            <w:tcW w:w="2375" w:type="dxa"/>
            <w:shd w:val="clear" w:color="auto" w:fill="F3F6F9"/>
            <w:tcMar>
              <w:top w:w="70" w:type="dxa"/>
              <w:left w:w="95" w:type="dxa"/>
              <w:bottom w:w="70" w:type="dxa"/>
              <w:right w:w="95" w:type="dxa"/>
            </w:tcMar>
            <w:vAlign w:val="center"/>
          </w:tcPr>
          <w:p w14:paraId="5C5F0B95" w14:textId="77777777" w:rsidR="00724F85" w:rsidRPr="00AD445F" w:rsidRDefault="00000000">
            <w:pPr>
              <w:spacing w:after="0" w:line="264" w:lineRule="auto"/>
              <w:rPr>
                <w:rFonts w:ascii="SimSun" w:eastAsia="SimSun" w:hAnsi="SimSun"/>
              </w:rPr>
            </w:pPr>
            <w:r w:rsidRPr="00AD445F">
              <w:rPr>
                <w:rFonts w:ascii="Aptos" w:eastAsia="Aptos" w:hAnsi="Aptos"/>
                <w:sz w:val="14"/>
              </w:rPr>
              <w:t>Content addressing and transport</w:t>
            </w:r>
          </w:p>
        </w:tc>
        <w:tc>
          <w:tcPr>
            <w:tcW w:w="2685" w:type="dxa"/>
            <w:shd w:val="clear" w:color="auto" w:fill="F3F6F9"/>
            <w:tcMar>
              <w:top w:w="70" w:type="dxa"/>
              <w:left w:w="95" w:type="dxa"/>
              <w:bottom w:w="70" w:type="dxa"/>
              <w:right w:w="95" w:type="dxa"/>
            </w:tcMar>
            <w:vAlign w:val="center"/>
          </w:tcPr>
          <w:p w14:paraId="454C4DC9" w14:textId="77777777" w:rsidR="00724F85" w:rsidRPr="00AD445F" w:rsidRDefault="00000000">
            <w:pPr>
              <w:spacing w:after="0" w:line="264" w:lineRule="auto"/>
              <w:rPr>
                <w:rFonts w:ascii="SimSun" w:eastAsia="SimSun" w:hAnsi="SimSun"/>
              </w:rPr>
            </w:pPr>
            <w:r w:rsidRPr="00AD445F">
              <w:rPr>
                <w:rFonts w:ascii="Aptos" w:eastAsia="Aptos" w:hAnsi="Aptos"/>
                <w:sz w:val="14"/>
              </w:rPr>
              <w:t>CID / DAG interoperability</w:t>
            </w:r>
          </w:p>
        </w:tc>
        <w:tc>
          <w:tcPr>
            <w:tcW w:w="2737" w:type="dxa"/>
            <w:shd w:val="clear" w:color="auto" w:fill="F3F6F9"/>
            <w:tcMar>
              <w:top w:w="70" w:type="dxa"/>
              <w:left w:w="95" w:type="dxa"/>
              <w:bottom w:w="70" w:type="dxa"/>
              <w:right w:w="95" w:type="dxa"/>
            </w:tcMar>
            <w:vAlign w:val="center"/>
          </w:tcPr>
          <w:p w14:paraId="1B50FF20"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Add service contracts, private indexes by default, and settlement</w:t>
            </w:r>
          </w:p>
        </w:tc>
      </w:tr>
      <w:tr w:rsidR="00724F85" w:rsidRPr="00AD445F" w14:paraId="2BE24212" w14:textId="77777777" w:rsidTr="00050B1D">
        <w:trPr>
          <w:cantSplit/>
          <w:trHeight w:val="246"/>
          <w:jc w:val="center"/>
        </w:trPr>
        <w:tc>
          <w:tcPr>
            <w:tcW w:w="2298" w:type="dxa"/>
            <w:tcMar>
              <w:top w:w="70" w:type="dxa"/>
              <w:left w:w="95" w:type="dxa"/>
              <w:bottom w:w="70" w:type="dxa"/>
              <w:right w:w="95" w:type="dxa"/>
            </w:tcMar>
            <w:vAlign w:val="center"/>
          </w:tcPr>
          <w:p w14:paraId="08C51542" w14:textId="77777777" w:rsidR="00724F85" w:rsidRPr="00AD445F" w:rsidRDefault="00000000">
            <w:pPr>
              <w:spacing w:after="0" w:line="264" w:lineRule="auto"/>
              <w:rPr>
                <w:rFonts w:ascii="SimSun" w:eastAsia="SimSun" w:hAnsi="SimSun"/>
              </w:rPr>
            </w:pPr>
            <w:proofErr w:type="spellStart"/>
            <w:r w:rsidRPr="00AD445F">
              <w:rPr>
                <w:rFonts w:ascii="Aptos" w:eastAsia="Aptos" w:hAnsi="Aptos"/>
                <w:sz w:val="14"/>
              </w:rPr>
              <w:t>Filecoin</w:t>
            </w:r>
            <w:proofErr w:type="spellEnd"/>
          </w:p>
        </w:tc>
        <w:tc>
          <w:tcPr>
            <w:tcW w:w="2375" w:type="dxa"/>
            <w:tcMar>
              <w:top w:w="70" w:type="dxa"/>
              <w:left w:w="95" w:type="dxa"/>
              <w:bottom w:w="70" w:type="dxa"/>
              <w:right w:w="95" w:type="dxa"/>
            </w:tcMar>
            <w:vAlign w:val="center"/>
          </w:tcPr>
          <w:p w14:paraId="0BCD48CA" w14:textId="77777777" w:rsidR="00724F85" w:rsidRPr="00AD445F" w:rsidRDefault="00000000">
            <w:pPr>
              <w:spacing w:after="0" w:line="264" w:lineRule="auto"/>
              <w:rPr>
                <w:rFonts w:ascii="SimSun" w:eastAsia="SimSun" w:hAnsi="SimSun"/>
              </w:rPr>
            </w:pPr>
            <w:r w:rsidRPr="00AD445F">
              <w:rPr>
                <w:rFonts w:ascii="Aptos" w:eastAsia="Aptos" w:hAnsi="Aptos"/>
                <w:sz w:val="14"/>
              </w:rPr>
              <w:t>Verifiable storage market</w:t>
            </w:r>
          </w:p>
        </w:tc>
        <w:tc>
          <w:tcPr>
            <w:tcW w:w="2685" w:type="dxa"/>
            <w:tcMar>
              <w:top w:w="70" w:type="dxa"/>
              <w:left w:w="95" w:type="dxa"/>
              <w:bottom w:w="70" w:type="dxa"/>
              <w:right w:w="95" w:type="dxa"/>
            </w:tcMar>
            <w:vAlign w:val="center"/>
          </w:tcPr>
          <w:p w14:paraId="5D6E2F9E" w14:textId="77777777" w:rsidR="00724F85" w:rsidRPr="00AD445F" w:rsidRDefault="00000000">
            <w:pPr>
              <w:spacing w:after="0" w:line="264" w:lineRule="auto"/>
              <w:rPr>
                <w:rFonts w:ascii="SimSun" w:eastAsia="SimSun" w:hAnsi="SimSun"/>
              </w:rPr>
            </w:pPr>
            <w:r w:rsidRPr="00AD445F">
              <w:rPr>
                <w:rFonts w:ascii="Aptos" w:eastAsia="Aptos" w:hAnsi="Aptos"/>
                <w:sz w:val="14"/>
              </w:rPr>
              <w:t xml:space="preserve">PoRep / </w:t>
            </w:r>
            <w:proofErr w:type="spellStart"/>
            <w:r w:rsidRPr="00AD445F">
              <w:rPr>
                <w:rFonts w:ascii="Aptos" w:eastAsia="Aptos" w:hAnsi="Aptos"/>
                <w:sz w:val="14"/>
              </w:rPr>
              <w:t>PoSt</w:t>
            </w:r>
            <w:proofErr w:type="spellEnd"/>
            <w:r w:rsidRPr="00AD445F">
              <w:rPr>
                <w:rFonts w:ascii="Aptos" w:eastAsia="Aptos" w:hAnsi="Aptos"/>
                <w:sz w:val="14"/>
              </w:rPr>
              <w:t xml:space="preserve"> and large-scale supply</w:t>
            </w:r>
          </w:p>
        </w:tc>
        <w:tc>
          <w:tcPr>
            <w:tcW w:w="2737" w:type="dxa"/>
            <w:tcMar>
              <w:top w:w="70" w:type="dxa"/>
              <w:left w:w="95" w:type="dxa"/>
              <w:bottom w:w="70" w:type="dxa"/>
              <w:right w:w="95" w:type="dxa"/>
            </w:tcMar>
            <w:vAlign w:val="center"/>
          </w:tcPr>
          <w:p w14:paraId="6725B01D" w14:textId="77777777" w:rsidR="00724F85" w:rsidRPr="00AD445F" w:rsidRDefault="00000000">
            <w:pPr>
              <w:spacing w:after="0" w:line="264" w:lineRule="auto"/>
              <w:rPr>
                <w:rFonts w:ascii="SimSun" w:eastAsia="SimSun" w:hAnsi="SimSun"/>
              </w:rPr>
            </w:pPr>
            <w:r w:rsidRPr="00AD445F">
              <w:rPr>
                <w:rFonts w:ascii="Aptos" w:eastAsia="Aptos" w:hAnsi="Aptos"/>
                <w:sz w:val="14"/>
              </w:rPr>
              <w:t>Hot data, regional Edge, and Solana product integration</w:t>
            </w:r>
          </w:p>
        </w:tc>
      </w:tr>
      <w:tr w:rsidR="00724F85" w:rsidRPr="00AD445F" w14:paraId="6D2FB52C" w14:textId="77777777" w:rsidTr="00050B1D">
        <w:trPr>
          <w:cantSplit/>
          <w:trHeight w:val="246"/>
          <w:jc w:val="center"/>
        </w:trPr>
        <w:tc>
          <w:tcPr>
            <w:tcW w:w="2298" w:type="dxa"/>
            <w:shd w:val="clear" w:color="auto" w:fill="F3F6F9"/>
            <w:tcMar>
              <w:top w:w="70" w:type="dxa"/>
              <w:left w:w="95" w:type="dxa"/>
              <w:bottom w:w="70" w:type="dxa"/>
              <w:right w:w="95" w:type="dxa"/>
            </w:tcMar>
            <w:vAlign w:val="center"/>
          </w:tcPr>
          <w:p w14:paraId="220D77D8" w14:textId="77777777" w:rsidR="00724F85" w:rsidRPr="00AD445F" w:rsidRDefault="00000000">
            <w:pPr>
              <w:spacing w:after="0" w:line="264" w:lineRule="auto"/>
              <w:rPr>
                <w:rFonts w:ascii="SimSun" w:eastAsia="SimSun" w:hAnsi="SimSun"/>
              </w:rPr>
            </w:pPr>
            <w:proofErr w:type="spellStart"/>
            <w:r w:rsidRPr="00AD445F">
              <w:rPr>
                <w:rFonts w:ascii="Aptos" w:eastAsia="Aptos" w:hAnsi="Aptos"/>
                <w:sz w:val="14"/>
              </w:rPr>
              <w:t>Arweave</w:t>
            </w:r>
            <w:proofErr w:type="spellEnd"/>
          </w:p>
        </w:tc>
        <w:tc>
          <w:tcPr>
            <w:tcW w:w="2375" w:type="dxa"/>
            <w:shd w:val="clear" w:color="auto" w:fill="F3F6F9"/>
            <w:tcMar>
              <w:top w:w="70" w:type="dxa"/>
              <w:left w:w="95" w:type="dxa"/>
              <w:bottom w:w="70" w:type="dxa"/>
              <w:right w:w="95" w:type="dxa"/>
            </w:tcMar>
            <w:vAlign w:val="center"/>
          </w:tcPr>
          <w:p w14:paraId="79BB61FF" w14:textId="77777777" w:rsidR="00724F85" w:rsidRPr="00AD445F" w:rsidRDefault="00000000">
            <w:pPr>
              <w:spacing w:after="0" w:line="264" w:lineRule="auto"/>
              <w:rPr>
                <w:rFonts w:ascii="SimSun" w:eastAsia="SimSun" w:hAnsi="SimSun"/>
              </w:rPr>
            </w:pPr>
            <w:r w:rsidRPr="00AD445F">
              <w:rPr>
                <w:rFonts w:ascii="Aptos" w:eastAsia="Aptos" w:hAnsi="Aptos"/>
                <w:sz w:val="14"/>
              </w:rPr>
              <w:t>Long-term / permanent storage</w:t>
            </w:r>
          </w:p>
        </w:tc>
        <w:tc>
          <w:tcPr>
            <w:tcW w:w="2685" w:type="dxa"/>
            <w:shd w:val="clear" w:color="auto" w:fill="F3F6F9"/>
            <w:tcMar>
              <w:top w:w="70" w:type="dxa"/>
              <w:left w:w="95" w:type="dxa"/>
              <w:bottom w:w="70" w:type="dxa"/>
              <w:right w:w="95" w:type="dxa"/>
            </w:tcMar>
            <w:vAlign w:val="center"/>
          </w:tcPr>
          <w:p w14:paraId="24AB6D3F"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Persistent information and verifiable history</w:t>
            </w:r>
          </w:p>
        </w:tc>
        <w:tc>
          <w:tcPr>
            <w:tcW w:w="2737" w:type="dxa"/>
            <w:shd w:val="clear" w:color="auto" w:fill="F3F6F9"/>
            <w:tcMar>
              <w:top w:w="70" w:type="dxa"/>
              <w:left w:w="95" w:type="dxa"/>
              <w:bottom w:w="70" w:type="dxa"/>
              <w:right w:w="95" w:type="dxa"/>
            </w:tcMar>
            <w:vAlign w:val="center"/>
          </w:tcPr>
          <w:p w14:paraId="5F8ADC3B"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Expiry, revocation, deletion paths, and mutable business objects</w:t>
            </w:r>
          </w:p>
        </w:tc>
      </w:tr>
      <w:tr w:rsidR="00724F85" w:rsidRPr="00AD445F" w14:paraId="503DA62B" w14:textId="77777777" w:rsidTr="00050B1D">
        <w:trPr>
          <w:cantSplit/>
          <w:trHeight w:val="246"/>
          <w:jc w:val="center"/>
        </w:trPr>
        <w:tc>
          <w:tcPr>
            <w:tcW w:w="2298" w:type="dxa"/>
            <w:tcMar>
              <w:top w:w="70" w:type="dxa"/>
              <w:left w:w="95" w:type="dxa"/>
              <w:bottom w:w="70" w:type="dxa"/>
              <w:right w:w="95" w:type="dxa"/>
            </w:tcMar>
            <w:vAlign w:val="center"/>
          </w:tcPr>
          <w:p w14:paraId="5A464ED8" w14:textId="77777777" w:rsidR="00724F85" w:rsidRPr="00AD445F" w:rsidRDefault="00000000">
            <w:pPr>
              <w:spacing w:after="0" w:line="264" w:lineRule="auto"/>
              <w:rPr>
                <w:rFonts w:ascii="SimSun" w:eastAsia="SimSun" w:hAnsi="SimSun"/>
              </w:rPr>
            </w:pPr>
            <w:proofErr w:type="spellStart"/>
            <w:r w:rsidRPr="00AD445F">
              <w:rPr>
                <w:rFonts w:ascii="Aptos" w:eastAsia="Aptos" w:hAnsi="Aptos"/>
                <w:sz w:val="14"/>
              </w:rPr>
              <w:t>Storj</w:t>
            </w:r>
            <w:proofErr w:type="spellEnd"/>
          </w:p>
        </w:tc>
        <w:tc>
          <w:tcPr>
            <w:tcW w:w="2375" w:type="dxa"/>
            <w:tcMar>
              <w:top w:w="70" w:type="dxa"/>
              <w:left w:w="95" w:type="dxa"/>
              <w:bottom w:w="70" w:type="dxa"/>
              <w:right w:w="95" w:type="dxa"/>
            </w:tcMar>
            <w:vAlign w:val="center"/>
          </w:tcPr>
          <w:p w14:paraId="564BAA08" w14:textId="77777777" w:rsidR="00724F85" w:rsidRPr="00AD445F" w:rsidRDefault="00000000">
            <w:pPr>
              <w:spacing w:after="0" w:line="264" w:lineRule="auto"/>
              <w:rPr>
                <w:rFonts w:ascii="SimSun" w:eastAsia="SimSun" w:hAnsi="SimSun"/>
              </w:rPr>
            </w:pPr>
            <w:r w:rsidRPr="00AD445F">
              <w:rPr>
                <w:rFonts w:ascii="Aptos" w:eastAsia="Aptos" w:hAnsi="Aptos"/>
                <w:sz w:val="14"/>
              </w:rPr>
              <w:t>Encrypted distributed object storage</w:t>
            </w:r>
          </w:p>
        </w:tc>
        <w:tc>
          <w:tcPr>
            <w:tcW w:w="2685" w:type="dxa"/>
            <w:tcMar>
              <w:top w:w="70" w:type="dxa"/>
              <w:left w:w="95" w:type="dxa"/>
              <w:bottom w:w="70" w:type="dxa"/>
              <w:right w:w="95" w:type="dxa"/>
            </w:tcMar>
            <w:vAlign w:val="center"/>
          </w:tcPr>
          <w:p w14:paraId="2FC6CE86"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Client-side encryption, erasure coding, S3 experience</w:t>
            </w:r>
          </w:p>
        </w:tc>
        <w:tc>
          <w:tcPr>
            <w:tcW w:w="2737" w:type="dxa"/>
            <w:tcMar>
              <w:top w:w="70" w:type="dxa"/>
              <w:left w:w="95" w:type="dxa"/>
              <w:bottom w:w="70" w:type="dxa"/>
              <w:right w:w="95" w:type="dxa"/>
            </w:tcMar>
            <w:vAlign w:val="center"/>
          </w:tcPr>
          <w:p w14:paraId="78EDA772"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On-chain commitments, open verification, and SOVR coordination</w:t>
            </w:r>
          </w:p>
        </w:tc>
      </w:tr>
      <w:tr w:rsidR="00724F85" w:rsidRPr="00AD445F" w14:paraId="345D0D4E" w14:textId="77777777" w:rsidTr="00050B1D">
        <w:trPr>
          <w:cantSplit/>
          <w:trHeight w:val="227"/>
          <w:jc w:val="center"/>
        </w:trPr>
        <w:tc>
          <w:tcPr>
            <w:tcW w:w="2298" w:type="dxa"/>
            <w:shd w:val="clear" w:color="auto" w:fill="F3F6F9"/>
            <w:tcMar>
              <w:top w:w="70" w:type="dxa"/>
              <w:left w:w="95" w:type="dxa"/>
              <w:bottom w:w="70" w:type="dxa"/>
              <w:right w:w="95" w:type="dxa"/>
            </w:tcMar>
            <w:vAlign w:val="center"/>
          </w:tcPr>
          <w:p w14:paraId="681C8CB8" w14:textId="77777777" w:rsidR="00724F85" w:rsidRPr="00AD445F" w:rsidRDefault="00000000">
            <w:pPr>
              <w:spacing w:after="0" w:line="264" w:lineRule="auto"/>
              <w:rPr>
                <w:rFonts w:ascii="SimSun" w:eastAsia="SimSun" w:hAnsi="SimSun"/>
              </w:rPr>
            </w:pPr>
            <w:r w:rsidRPr="00AD445F">
              <w:rPr>
                <w:rFonts w:ascii="Aptos" w:eastAsia="Aptos" w:hAnsi="Aptos"/>
                <w:sz w:val="14"/>
              </w:rPr>
              <w:t>Sia</w:t>
            </w:r>
          </w:p>
        </w:tc>
        <w:tc>
          <w:tcPr>
            <w:tcW w:w="2375" w:type="dxa"/>
            <w:shd w:val="clear" w:color="auto" w:fill="F3F6F9"/>
            <w:tcMar>
              <w:top w:w="70" w:type="dxa"/>
              <w:left w:w="95" w:type="dxa"/>
              <w:bottom w:w="70" w:type="dxa"/>
              <w:right w:w="95" w:type="dxa"/>
            </w:tcMar>
            <w:vAlign w:val="center"/>
          </w:tcPr>
          <w:p w14:paraId="2A4F6B87" w14:textId="77777777" w:rsidR="00724F85" w:rsidRPr="00AD445F" w:rsidRDefault="00000000">
            <w:pPr>
              <w:spacing w:after="0" w:line="264" w:lineRule="auto"/>
              <w:rPr>
                <w:rFonts w:ascii="SimSun" w:eastAsia="SimSun" w:hAnsi="SimSun"/>
              </w:rPr>
            </w:pPr>
            <w:r w:rsidRPr="00AD445F">
              <w:rPr>
                <w:rFonts w:ascii="Aptos" w:eastAsia="Aptos" w:hAnsi="Aptos"/>
                <w:sz w:val="14"/>
              </w:rPr>
              <w:t>Renter–host contracts</w:t>
            </w:r>
          </w:p>
        </w:tc>
        <w:tc>
          <w:tcPr>
            <w:tcW w:w="2685" w:type="dxa"/>
            <w:shd w:val="clear" w:color="auto" w:fill="F3F6F9"/>
            <w:tcMar>
              <w:top w:w="70" w:type="dxa"/>
              <w:left w:w="95" w:type="dxa"/>
              <w:bottom w:w="70" w:type="dxa"/>
              <w:right w:w="95" w:type="dxa"/>
            </w:tcMar>
            <w:vAlign w:val="center"/>
          </w:tcPr>
          <w:p w14:paraId="43DCD71C" w14:textId="77777777" w:rsidR="00724F85" w:rsidRPr="00AD445F" w:rsidRDefault="00000000">
            <w:pPr>
              <w:spacing w:after="0" w:line="264" w:lineRule="auto"/>
              <w:rPr>
                <w:rFonts w:ascii="SimSun" w:eastAsia="SimSun" w:hAnsi="SimSun"/>
              </w:rPr>
            </w:pPr>
            <w:r w:rsidRPr="00AD445F">
              <w:rPr>
                <w:rFonts w:ascii="Aptos" w:eastAsia="Aptos" w:hAnsi="Aptos"/>
                <w:sz w:val="14"/>
              </w:rPr>
              <w:t>Open host market and contractual performance</w:t>
            </w:r>
          </w:p>
        </w:tc>
        <w:tc>
          <w:tcPr>
            <w:tcW w:w="2737" w:type="dxa"/>
            <w:shd w:val="clear" w:color="auto" w:fill="F3F6F9"/>
            <w:tcMar>
              <w:top w:w="70" w:type="dxa"/>
              <w:left w:w="95" w:type="dxa"/>
              <w:bottom w:w="70" w:type="dxa"/>
              <w:right w:w="95" w:type="dxa"/>
            </w:tcMar>
            <w:vAlign w:val="center"/>
          </w:tcPr>
          <w:p w14:paraId="0A352870"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Object policy, regional services, and a developer product layer</w:t>
            </w:r>
          </w:p>
        </w:tc>
      </w:tr>
      <w:tr w:rsidR="00724F85" w:rsidRPr="00AD445F" w14:paraId="1415F45E" w14:textId="77777777" w:rsidTr="00050B1D">
        <w:trPr>
          <w:cantSplit/>
          <w:trHeight w:val="246"/>
          <w:jc w:val="center"/>
        </w:trPr>
        <w:tc>
          <w:tcPr>
            <w:tcW w:w="2298" w:type="dxa"/>
            <w:tcMar>
              <w:top w:w="70" w:type="dxa"/>
              <w:left w:w="95" w:type="dxa"/>
              <w:bottom w:w="70" w:type="dxa"/>
              <w:right w:w="95" w:type="dxa"/>
            </w:tcMar>
            <w:vAlign w:val="center"/>
          </w:tcPr>
          <w:p w14:paraId="70D44126" w14:textId="77777777" w:rsidR="00724F85" w:rsidRPr="00AD445F" w:rsidRDefault="00000000">
            <w:pPr>
              <w:spacing w:after="0" w:line="264" w:lineRule="auto"/>
              <w:rPr>
                <w:rFonts w:ascii="SimSun" w:eastAsia="SimSun" w:hAnsi="SimSun"/>
              </w:rPr>
            </w:pPr>
            <w:r w:rsidRPr="00AD445F">
              <w:rPr>
                <w:rFonts w:ascii="Aptos" w:eastAsia="Aptos" w:hAnsi="Aptos"/>
                <w:sz w:val="14"/>
              </w:rPr>
              <w:lastRenderedPageBreak/>
              <w:t>Walrus</w:t>
            </w:r>
          </w:p>
        </w:tc>
        <w:tc>
          <w:tcPr>
            <w:tcW w:w="2375" w:type="dxa"/>
            <w:tcMar>
              <w:top w:w="70" w:type="dxa"/>
              <w:left w:w="95" w:type="dxa"/>
              <w:bottom w:w="70" w:type="dxa"/>
              <w:right w:w="95" w:type="dxa"/>
            </w:tcMar>
            <w:vAlign w:val="center"/>
          </w:tcPr>
          <w:p w14:paraId="19D44A84" w14:textId="77777777" w:rsidR="00724F85" w:rsidRPr="00AD445F" w:rsidRDefault="00000000">
            <w:pPr>
              <w:spacing w:after="0" w:line="264" w:lineRule="auto"/>
              <w:rPr>
                <w:rFonts w:ascii="SimSun" w:eastAsia="SimSun" w:hAnsi="SimSun"/>
              </w:rPr>
            </w:pPr>
            <w:r w:rsidRPr="00AD445F">
              <w:rPr>
                <w:rFonts w:ascii="Aptos" w:eastAsia="Aptos" w:hAnsi="Aptos"/>
                <w:sz w:val="14"/>
              </w:rPr>
              <w:t>Chain-coordinated blob store</w:t>
            </w:r>
          </w:p>
        </w:tc>
        <w:tc>
          <w:tcPr>
            <w:tcW w:w="2685" w:type="dxa"/>
            <w:tcMar>
              <w:top w:w="70" w:type="dxa"/>
              <w:left w:w="95" w:type="dxa"/>
              <w:bottom w:w="70" w:type="dxa"/>
              <w:right w:w="95" w:type="dxa"/>
            </w:tcMar>
            <w:vAlign w:val="center"/>
          </w:tcPr>
          <w:p w14:paraId="003B593D" w14:textId="77777777" w:rsidR="00724F85" w:rsidRPr="00AD445F" w:rsidRDefault="00000000">
            <w:pPr>
              <w:spacing w:after="0" w:line="264" w:lineRule="auto"/>
              <w:rPr>
                <w:rFonts w:ascii="SimSun" w:eastAsia="SimSun" w:hAnsi="SimSun"/>
              </w:rPr>
            </w:pPr>
            <w:r w:rsidRPr="00AD445F">
              <w:rPr>
                <w:rFonts w:ascii="Aptos" w:eastAsia="Aptos" w:hAnsi="Aptos"/>
                <w:sz w:val="14"/>
              </w:rPr>
              <w:t>Erasure coding and availability certificates</w:t>
            </w:r>
          </w:p>
        </w:tc>
        <w:tc>
          <w:tcPr>
            <w:tcW w:w="2737" w:type="dxa"/>
            <w:tcMar>
              <w:top w:w="70" w:type="dxa"/>
              <w:left w:w="95" w:type="dxa"/>
              <w:bottom w:w="70" w:type="dxa"/>
              <w:right w:w="95" w:type="dxa"/>
            </w:tcMar>
            <w:vAlign w:val="center"/>
          </w:tcPr>
          <w:p w14:paraId="7FDB1DDF"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4"/>
                <w:lang w:eastAsia="zh-CN"/>
              </w:rPr>
              <w:t>Private objects by default, key-based authorization, and hot Edge reads</w:t>
            </w:r>
          </w:p>
        </w:tc>
      </w:tr>
    </w:tbl>
    <w:p w14:paraId="294C81B5" w14:textId="77777777" w:rsidR="00724F85" w:rsidRPr="00AD445F" w:rsidRDefault="00724F85">
      <w:pPr>
        <w:pStyle w:val="WPSmall"/>
        <w:spacing w:after="0"/>
        <w:rPr>
          <w:rFonts w:ascii="SimSun" w:eastAsia="SimSun" w:hAnsi="SimSun"/>
          <w:lang w:eastAsia="zh-CN"/>
        </w:rPr>
      </w:pPr>
    </w:p>
    <w:p w14:paraId="7718C222"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Who SOVRA Should Not Copy</w:t>
      </w:r>
    </w:p>
    <w:p w14:paraId="0BDC9A3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does not need to become “another Filecoin” or “Arweave on Solana.” A more reasonable direction is to absorb lessons from mature protocols in content addressing, proofs, erasure coding, and open markets, then build a product around encryption by default, hot data, regional nodes, wallet and OIDC authorization, and portable SDKs.</w:t>
      </w:r>
    </w:p>
    <w:p w14:paraId="2914562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Whether that combination is truly differentiated must be validated by paid pilots. If customers are unwilling to pay for those capabilities, SOVRA should narrow its scope or act as a compatibility layer over existing storage networks rather than continuously adding token incentives.</w:t>
      </w:r>
    </w:p>
    <w:p w14:paraId="0C398516" w14:textId="77777777" w:rsidR="00050B1D" w:rsidRPr="00AD445F" w:rsidRDefault="00050B1D" w:rsidP="00050B1D">
      <w:pPr>
        <w:rPr>
          <w:rFonts w:ascii="SimSun" w:eastAsia="SimSun" w:hAnsi="SimSun"/>
          <w:lang w:eastAsia="zh-CN"/>
        </w:rPr>
      </w:pPr>
    </w:p>
    <w:p w14:paraId="15B366F3"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10.3  Not Another Archival Chain, but a Sovereign Data Service Layer</w:t>
      </w:r>
    </w:p>
    <w:p w14:paraId="1E813678"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 chooses to place hot data, encryption by default, regional service, and developer experience inside the same product boundary.</w:t>
      </w:r>
    </w:p>
    <w:p w14:paraId="5E136A4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Three Core Hypotheses</w:t>
      </w:r>
    </w:p>
    <w:p w14:paraId="29E18AC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First, developers will pay more than pure archival pricing for client-side encryption, wallet or OIDC permissions, verifiable receipts, and a complete migration path. Second, regional nodes and caches can create repeatable latency or egress-cost advantages in target cities. Third, Solana-ecosystem teams will prefer native account, settlement, and governance integration over maintaining additional cross-chain assets and identities.</w:t>
      </w:r>
    </w:p>
    <w:p w14:paraId="4C95AB5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All three hypotheses are falsifiable. SOVRA should test them through 3–5 real paid pilots measuring integration hours, end-to-end cost, regional performance, failure recovery, and migration. If no meaningful advantage appears in real data, the project should stop presenting these points as differentiation.</w:t>
      </w:r>
    </w:p>
    <w:p w14:paraId="24DBFC08"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Non-Goals</w:t>
      </w:r>
    </w:p>
    <w:p w14:paraId="2660924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does not promise that all data is stored forever, and it does not confuse on-chain immutability with undeletable user objects. It does not attempt to replace traditional cloud comprehensively at an early stage; it does not count node processes or promised disk capacity as usable supply; it does not add burn mechanics by default to manufacture a deflation narrative; and it does not pursue fully permissionless operation before the security mechanisms have been validated.</w:t>
      </w:r>
    </w:p>
    <w:p w14:paraId="61D9742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The Real Moat</w:t>
      </w:r>
    </w:p>
    <w:p w14:paraId="6E4AEB3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Underlying encryption, CID, erasure coding, and blockchains are not unique technologies. SOVRA’s moat can only come from end-to-end product execution: secure defaults, clear interfaces, real regional supply, verifiable SLAs, reliable migration, transparent economics, and a developer ecosystem. A complicated protocol without those capabilities merely increases user burden.</w:t>
      </w:r>
    </w:p>
    <w:tbl>
      <w:tblPr>
        <w:tblW w:w="0" w:type="auto"/>
        <w:jc w:val="center"/>
        <w:tblLayout w:type="fixed"/>
        <w:tblLook w:val="04A0" w:firstRow="1" w:lastRow="0" w:firstColumn="1" w:lastColumn="0" w:noHBand="0" w:noVBand="1"/>
      </w:tblPr>
      <w:tblGrid>
        <w:gridCol w:w="10092"/>
      </w:tblGrid>
      <w:tr w:rsidR="00724F85" w:rsidRPr="00AD445F" w14:paraId="536D27E0" w14:textId="77777777">
        <w:trPr>
          <w:jc w:val="center"/>
        </w:trPr>
        <w:tc>
          <w:tcPr>
            <w:tcW w:w="10092" w:type="dxa"/>
            <w:shd w:val="clear" w:color="auto" w:fill="FFF4D6"/>
            <w:tcMar>
              <w:top w:w="120" w:type="dxa"/>
              <w:left w:w="180" w:type="dxa"/>
              <w:bottom w:w="120" w:type="dxa"/>
              <w:right w:w="180" w:type="dxa"/>
            </w:tcMar>
          </w:tcPr>
          <w:p w14:paraId="4B2F7DE4" w14:textId="77777777" w:rsidR="00724F85" w:rsidRPr="00AD445F" w:rsidRDefault="00000000">
            <w:pPr>
              <w:spacing w:after="60"/>
              <w:rPr>
                <w:rFonts w:ascii="SimSun" w:eastAsia="SimSun" w:hAnsi="SimSun"/>
                <w:lang w:eastAsia="zh-CN"/>
              </w:rPr>
            </w:pPr>
            <w:r w:rsidRPr="00AD445F">
              <w:rPr>
                <w:rFonts w:ascii="Aptos" w:eastAsia="Aptos" w:hAnsi="Aptos"/>
                <w:b/>
                <w:color w:val="0F766E"/>
                <w:sz w:val="18"/>
                <w:lang w:eastAsia="zh-CN"/>
              </w:rPr>
              <w:t>Market Discipline</w:t>
            </w:r>
          </w:p>
          <w:p w14:paraId="77FD81E5" w14:textId="77777777" w:rsidR="00724F85" w:rsidRPr="00AD445F" w:rsidRDefault="00724F85">
            <w:pPr>
              <w:spacing w:after="0" w:line="283" w:lineRule="auto"/>
              <w:rPr>
                <w:rFonts w:ascii="SimSun" w:eastAsia="SimSun" w:hAnsi="SimSun"/>
                <w:lang w:eastAsia="zh-CN"/>
              </w:rPr>
            </w:pPr>
          </w:p>
        </w:tc>
      </w:tr>
    </w:tbl>
    <w:p w14:paraId="1D9F959E" w14:textId="77777777" w:rsidR="00724F85" w:rsidRPr="00AD445F" w:rsidRDefault="00724F85">
      <w:pPr>
        <w:pStyle w:val="WPSmall"/>
        <w:spacing w:after="0"/>
        <w:rPr>
          <w:rFonts w:ascii="SimSun" w:eastAsia="SimSun" w:hAnsi="SimSun"/>
          <w:lang w:eastAsia="zh-CN"/>
        </w:rPr>
      </w:pPr>
    </w:p>
    <w:p w14:paraId="0E3B8EB1" w14:textId="77777777" w:rsidR="001400AB" w:rsidRPr="00AD445F" w:rsidRDefault="00000000" w:rsidP="006878AB">
      <w:pPr>
        <w:pStyle w:val="WPH2"/>
        <w:keepNext/>
        <w:rPr>
          <w:rFonts w:ascii="SimSun" w:eastAsia="SimSun" w:hAnsi="SimSun"/>
          <w:lang w:eastAsia="zh-CN"/>
        </w:rPr>
      </w:pPr>
      <w:r w:rsidRPr="00AD445F">
        <w:rPr>
          <w:rFonts w:ascii="Aptos" w:eastAsia="Aptos" w:hAnsi="Aptos" w:cs="SimSun" w:hint="eastAsia"/>
          <w:lang w:eastAsia="zh-CN"/>
        </w:rPr>
        <w:t>Prove Differentiation with Measurable Outcomes</w:t>
      </w:r>
    </w:p>
    <w:p w14:paraId="1DDDC9EF"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 xml:space="preserve">SOVRA’s differentiation must appear in measurable outcomes: whether retrieval latency is lower in target cities, whether repair is faster, whether total cost is transparent before and after subsidies, whether users can export and recover without </w:t>
      </w:r>
      <w:r w:rsidRPr="00AD445F">
        <w:rPr>
          <w:rFonts w:ascii="Aptos" w:eastAsia="Aptos" w:hAnsi="Aptos"/>
          <w:lang w:eastAsia="zh-CN"/>
        </w:rPr>
        <w:lastRenderedPageBreak/>
        <w:t>depending on the original Gateway, and whether nodes truly span independent operators and failure domains. Feature lists are not substitutes for that evidence.</w:t>
      </w:r>
    </w:p>
    <w:p w14:paraId="6098A10D"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Every early use case should define continue, adjust, and stop conditions. If the product cannot materially improve sovereignty, verification, migration, or regional service at an acceptable cost, the team should narrow scope, reuse existing storage networks, or move toward a compatibility layer rather than conceal the product gap with more token incentives.</w:t>
      </w:r>
    </w:p>
    <w:p w14:paraId="5A6757A6" w14:textId="77777777" w:rsidR="006878AB" w:rsidRPr="00AD445F" w:rsidRDefault="006878AB">
      <w:pPr>
        <w:pStyle w:val="WPKicker"/>
        <w:keepNext/>
        <w:rPr>
          <w:rFonts w:ascii="SimSun" w:eastAsia="SimSun" w:hAnsi="SimSun"/>
          <w:lang w:eastAsia="zh-CN"/>
        </w:rPr>
      </w:pPr>
      <w:r w:rsidRPr="00AD445F">
        <w:rPr>
          <w:rFonts w:ascii="Aptos" w:eastAsia="Aptos" w:hAnsi="Aptos"/>
          <w:lang w:eastAsia="zh-CN"/>
        </w:rPr>
        <w:br w:type="page"/>
      </w:r>
    </w:p>
    <w:p w14:paraId="499A52AC" w14:textId="77777777" w:rsidR="00724F85" w:rsidRPr="00AD445F" w:rsidRDefault="00000000">
      <w:pPr>
        <w:pStyle w:val="WPKicker"/>
        <w:keepNext/>
        <w:rPr>
          <w:rFonts w:ascii="SimSun" w:eastAsia="SimSun" w:hAnsi="SimSun"/>
          <w:sz w:val="40"/>
          <w:szCs w:val="40"/>
        </w:rPr>
      </w:pPr>
      <w:r w:rsidRPr="00AD445F">
        <w:rPr>
          <w:rFonts w:ascii="Aptos" w:eastAsia="Aptos" w:hAnsi="Aptos"/>
          <w:sz w:val="40"/>
          <w:szCs w:val="40"/>
        </w:rPr>
        <w:lastRenderedPageBreak/>
        <w:t>CHAPTER 11 · USE CASES</w:t>
      </w:r>
    </w:p>
    <w:p w14:paraId="40626262" w14:textId="77777777" w:rsidR="00724F85" w:rsidRPr="00AD445F" w:rsidRDefault="00000000">
      <w:pPr>
        <w:pStyle w:val="WPPageTitle"/>
        <w:keepNext/>
        <w:pBdr>
          <w:bottom w:val="single" w:sz="12" w:space="5" w:color="0F766E"/>
        </w:pBdr>
        <w:rPr>
          <w:rFonts w:ascii="SimSun" w:eastAsia="SimSun" w:hAnsi="SimSun"/>
        </w:rPr>
      </w:pPr>
      <w:proofErr w:type="gramStart"/>
      <w:r w:rsidRPr="00AD445F">
        <w:rPr>
          <w:rFonts w:ascii="Aptos" w:eastAsia="Aptos" w:hAnsi="Aptos"/>
        </w:rPr>
        <w:t>11.1  AI</w:t>
      </w:r>
      <w:proofErr w:type="gramEnd"/>
      <w:r w:rsidRPr="00AD445F">
        <w:rPr>
          <w:rFonts w:ascii="Aptos" w:eastAsia="Aptos" w:hAnsi="Aptos"/>
        </w:rPr>
        <w:t xml:space="preserve"> Agent Memory</w:t>
      </w:r>
    </w:p>
    <w:p w14:paraId="19651189" w14:textId="77777777" w:rsidR="00724F85" w:rsidRPr="00AD445F" w:rsidRDefault="00000000">
      <w:pPr>
        <w:pStyle w:val="WPDeck"/>
        <w:keepNext/>
        <w:rPr>
          <w:rFonts w:ascii="SimSun" w:eastAsia="SimSun" w:hAnsi="SimSun"/>
        </w:rPr>
      </w:pPr>
      <w:r w:rsidRPr="00AD445F">
        <w:rPr>
          <w:rFonts w:ascii="Aptos" w:eastAsia="Aptos" w:hAnsi="Aptos"/>
        </w:rPr>
        <w:t>Long-term Agent memory is one of SOVRA’s most representative early use cases: high value, high frequency, privacy-sensitive, and inherently dependent on versioning and authorization.</w:t>
      </w:r>
    </w:p>
    <w:p w14:paraId="555E76A1" w14:textId="77777777" w:rsidR="00724F85" w:rsidRPr="00AD445F" w:rsidRDefault="00000000">
      <w:pPr>
        <w:pStyle w:val="WPH2"/>
        <w:keepNext/>
        <w:rPr>
          <w:rFonts w:ascii="SimSun" w:eastAsia="SimSun" w:hAnsi="SimSun"/>
        </w:rPr>
      </w:pPr>
      <w:r w:rsidRPr="00AD445F">
        <w:rPr>
          <w:rFonts w:ascii="Aptos" w:eastAsia="Aptos" w:hAnsi="Aptos"/>
        </w:rPr>
        <w:t>A Data Space, Not a Single File</w:t>
      </w:r>
    </w:p>
    <w:p w14:paraId="23F9F1B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Agent Memory includes raw events, summaries, tool results, vector indexes, user files, and model-context bundles. Different data have different retention periods and sensitivities: raw conversations may be short-lived, user-confirmed preferences may persist for years, tool results need source and version records, and indexes can be rebuilt from source objects when necessary.</w:t>
      </w:r>
    </w:p>
    <w:p w14:paraId="46BB5459" w14:textId="77777777" w:rsidR="00724F85" w:rsidRPr="00AD445F" w:rsidRDefault="00000000">
      <w:pPr>
        <w:pStyle w:val="WPBody"/>
        <w:rPr>
          <w:rFonts w:ascii="SimSun" w:eastAsia="SimSun" w:hAnsi="SimSun"/>
          <w:lang w:eastAsia="zh-CN"/>
        </w:rPr>
      </w:pPr>
      <w:r w:rsidRPr="00AD445F">
        <w:rPr>
          <w:rFonts w:ascii="Aptos" w:eastAsia="Aptos" w:hAnsi="Aptos"/>
        </w:rPr>
        <w:t>SOVRA can create a private namespace for each user. Applications prove identity through a wallet, Passkey, or OIDC; the SDK encrypts events and summaries locally; the index stores only references to encrypted objects; and the Agent receives a short-lived, read-only, prefix-limited capability. Enterprises manage KEKs through a KMS and enforce region and retention policies.</w:t>
      </w:r>
    </w:p>
    <w:p w14:paraId="1B9FA3C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Provenance, Versioning, and Correction</w:t>
      </w:r>
    </w:p>
    <w:p w14:paraId="565A49F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Content commitments let an Agent reference a specific object version and verify that the retrieved result was not substituted. They cannot determine whether a memory is true, so applications need to preserve provenance, summarization method, and user corrections. When an incorrect summary is corrected, a new version is created and the old version is revoked or expires according to policy rather than being silently overwritten.</w:t>
      </w:r>
    </w:p>
    <w:p w14:paraId="60D4E95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Embeddings and vectors can also leak semantics and should not be public by default simply because they are not raw text. Vector indexes should be encrypted separately from source objects, with access controls at least as strict as those on the source data.</w:t>
      </w:r>
    </w:p>
    <w:p w14:paraId="6309840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Pilot Measurement</w:t>
      </w:r>
    </w:p>
    <w:p w14:paraId="7F1BDCC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An Agent pilot should measure total cost per thousand memory reads and writes, P95 latency, task success rate, cross-device recovery, permission revocation, full-dataset export, and additional latency during a single-region failure. The use case is valid only if these metrics outperform or materially complement existing alternatives.</w:t>
      </w:r>
    </w:p>
    <w:p w14:paraId="6AF2D53A" w14:textId="77777777" w:rsidR="00050B1D" w:rsidRPr="00AD445F" w:rsidRDefault="00050B1D" w:rsidP="00050B1D">
      <w:pPr>
        <w:rPr>
          <w:rFonts w:ascii="SimSun" w:eastAsia="SimSun" w:hAnsi="SimSun"/>
          <w:lang w:eastAsia="zh-CN"/>
        </w:rPr>
      </w:pPr>
    </w:p>
    <w:p w14:paraId="00EAFECC" w14:textId="77777777" w:rsidR="001400AB" w:rsidRPr="00AD445F" w:rsidRDefault="00000000">
      <w:pPr>
        <w:pStyle w:val="WPH2"/>
        <w:keepNext/>
        <w:rPr>
          <w:rFonts w:ascii="SimSun" w:eastAsia="SimSun" w:hAnsi="SimSun"/>
        </w:rPr>
      </w:pPr>
      <w:r w:rsidRPr="00AD445F">
        <w:rPr>
          <w:rFonts w:ascii="Aptos" w:eastAsia="Aptos" w:hAnsi="Aptos"/>
        </w:rPr>
        <w:t>Acceptance Criteria for AI Agent Memory</w:t>
      </w:r>
    </w:p>
    <w:p w14:paraId="523D7ACD" w14:textId="77777777" w:rsidR="001400AB" w:rsidRPr="00AD445F" w:rsidRDefault="00000000">
      <w:pPr>
        <w:pStyle w:val="WPBody"/>
        <w:rPr>
          <w:rFonts w:ascii="SimSun" w:eastAsia="SimSun" w:hAnsi="SimSun"/>
          <w:lang w:eastAsia="zh-CN"/>
        </w:rPr>
      </w:pPr>
      <w:r w:rsidRPr="00AD445F">
        <w:rPr>
          <w:rFonts w:ascii="Aptos" w:eastAsia="Aptos" w:hAnsi="Aptos"/>
        </w:rPr>
        <w:t>Agent Memory should not be validated merely by proving that “upload works.” A pilot needs to measure frequent small-object reads and writes, version conflicts, cross-device authorization, memory revocation, long-term retention, bulk export, and cost ceilings, and should confirm that context remains recoverable after the model or Agent changes. The use case is valid only when latency, privacy, and portability simultaneously meet application requirements.</w:t>
      </w:r>
    </w:p>
    <w:p w14:paraId="1B9CE823"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11.2  Web3 Applications, Games, and User Content</w:t>
      </w:r>
    </w:p>
    <w:p w14:paraId="6D82479A"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These applications naturally use wallets and content references, yet they are also especially vulnerable to the mistaken narrative that “all data should go on-chain.”</w:t>
      </w:r>
    </w:p>
    <w:p w14:paraId="3A01C453"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Suitable Workloads</w:t>
      </w:r>
    </w:p>
    <w:p w14:paraId="70D574D9"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 xml:space="preserve">A </w:t>
      </w:r>
      <w:proofErr w:type="spellStart"/>
      <w:r w:rsidRPr="00AD445F">
        <w:rPr>
          <w:rFonts w:ascii="Aptos" w:eastAsia="Aptos" w:hAnsi="Aptos"/>
          <w:lang w:eastAsia="zh-CN"/>
        </w:rPr>
        <w:t>dApp</w:t>
      </w:r>
      <w:proofErr w:type="spellEnd"/>
      <w:r w:rsidRPr="00AD445F">
        <w:rPr>
          <w:rFonts w:ascii="Aptos" w:eastAsia="Aptos" w:hAnsi="Aptos"/>
          <w:lang w:eastAsia="zh-CN"/>
        </w:rPr>
        <w:t xml:space="preserve"> can store attachments, state snapshots, export bundles, and frontend assets. Games can store assets, player creations, replays, and configuration versions. NFTs and digital content can store encrypted media and verifiable metadata. DAOs can store proposal attachments, historical documents, and backups. Final account state that requires consensus should remain on-chain and should not be replaced by the SOVRA object layer.</w:t>
      </w:r>
    </w:p>
    <w:p w14:paraId="47F09AB9"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lastRenderedPageBreak/>
        <w:t>Public assets can use public CIDs and edge caching; private content should remain non-enumerable. On-chain assets reference only version commitments or issuance manifests instead of storing large files in accounts. A CID proves content consistency; it does not automatically prove copyright, legal ownership, or authenticity.</w:t>
      </w:r>
    </w:p>
    <w:p w14:paraId="746C88A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Games and Hot Data</w:t>
      </w:r>
    </w:p>
    <w:p w14:paraId="02C2E8D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game client can encrypt user-generated content locally and upload it to the Edge Hot tier. Regional caches provide low-latency retrieval while backend storage nodes retain durable shards. Moderation, publishing, and community policy are enforced at the application layer; the protocol layer handles only ciphertext objects and service contracts.</w:t>
      </w:r>
    </w:p>
    <w:p w14:paraId="0A6ABA0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Real-time game state usually requires millisecond-level consistency and is not suitable for direct storage in SOVRA. More appropriate boundaries are asset distribution, replays, user content, checkpoints, and post-session archives. Using the protocol at the right layer is more credible than claiming it can replace game servers.</w:t>
      </w:r>
    </w:p>
    <w:p w14:paraId="3B703E92"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Consumer Experience</w:t>
      </w:r>
    </w:p>
    <w:p w14:paraId="5C1D3A3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wallet is not a complete account system. Consumer-facing applications also need device recovery, account merging, support, parental controls, and protections for minors. The SOVRA SDK should support wallets, Passkey/OIDC, and organizational IAM while hiding unnecessary on-chain friction through sponsored transactions and restricted session keys.</w:t>
      </w:r>
    </w:p>
    <w:p w14:paraId="684E98E8" w14:textId="77777777" w:rsidR="00050B1D" w:rsidRPr="00AD445F" w:rsidRDefault="00050B1D" w:rsidP="00050B1D">
      <w:pPr>
        <w:rPr>
          <w:rFonts w:ascii="SimSun" w:eastAsia="SimSun" w:hAnsi="SimSun"/>
          <w:lang w:eastAsia="zh-CN"/>
        </w:rPr>
      </w:pPr>
    </w:p>
    <w:p w14:paraId="2A4CE914"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11.3  Enterprise Backup, Personal Cloud, and Regional Edge</w:t>
      </w:r>
    </w:p>
    <w:p w14:paraId="63967436"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These directions address larger markets but also impose higher requirements for identity, compliance, support, and service responsibility.</w:t>
      </w:r>
    </w:p>
    <w:p w14:paraId="1DF5348E"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Verifiable Backup</w:t>
      </w:r>
    </w:p>
    <w:p w14:paraId="62EDE581"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Enterprise backup is well suited to sharding across independent operators, independent proofs, and recovery drills. Customers can connect their own KMS, select regions and Professional Nodes, and periodically restore test objects from random shards. SOVRA’s value is not simply “multiple copies” but independently verifiable retention, repair, and export records.</w:t>
      </w:r>
    </w:p>
    <w:p w14:paraId="5B8A6F5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Entering this market requires contractual SLAs, support procedures, audits, residency controls, incident notification, and compensation mechanisms. Protocol scoring cannot replace enterprise accountability, so expansion should occur only after Mainnet Beta and the repair mechanisms have matured.</w:t>
      </w:r>
    </w:p>
    <w:p w14:paraId="68DF1308"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Personal Encrypted Cloud</w:t>
      </w:r>
    </w:p>
    <w:p w14:paraId="50EA085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Personal cloud most directly expresses the sovereignty vision, but it is also one of the hardest products to deliver. Users need multi-device sync, sharing, photo and file experiences, reliable recovery, customer support, and consumer protection. Permanent unreadability caused by lost keys cannot be dismissed as “the user’s responsibility.” SOVRA can begin with developer components and gradually build toward a full client.</w:t>
      </w:r>
    </w:p>
    <w:p w14:paraId="3D4F347F"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Regional Edge and Hybrid Cloud</w:t>
      </w:r>
    </w:p>
    <w:p w14:paraId="229DB0C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Regional Edge improves experience by caching hot ciphertext near users. Hybrid cloud lets customers write simultaneously to traditional object storage and SOVRA, preserving an independent recovery path if a single cloud account fails. The S3 Gateway, dual writing, verification, and failover are core capabilities for this product family.</w:t>
      </w:r>
    </w:p>
    <w:p w14:paraId="16935E1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Both use cases depend on high utilization. Without enough real traffic, regional nodes are burdened by idle cost; dual writing without a clear consistency and recovery strategy adds operational risk. Go-to-market should begin with measurable workloads.</w:t>
      </w:r>
    </w:p>
    <w:p w14:paraId="2E8D811B" w14:textId="77777777" w:rsidR="00050B1D" w:rsidRPr="00AD445F" w:rsidRDefault="00050B1D" w:rsidP="00050B1D">
      <w:pPr>
        <w:rPr>
          <w:rFonts w:ascii="SimSun" w:eastAsia="SimSun" w:hAnsi="SimSun"/>
          <w:lang w:eastAsia="zh-CN"/>
        </w:rPr>
      </w:pPr>
    </w:p>
    <w:p w14:paraId="059EC01B"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11.4  From Design Partners to Repeatable Sales</w:t>
      </w:r>
    </w:p>
    <w:p w14:paraId="363C7060"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The first-stage objective is not community size or node count. It is to find teams willing to entrust SOVRA with real data and real budget.</w:t>
      </w:r>
    </w:p>
    <w:p w14:paraId="47AFDEE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Design Partners</w:t>
      </w:r>
    </w:p>
    <w:p w14:paraId="410811F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 can select a small number of Solana, AI Agent, and Web3 teams as design partners, providing migration and engineering support in exchange for real requirements, failure data, and production-like workloads. Demand is only initially validated when partners place non-demo data in the system and are willing to keep paying after the pilot ends.</w:t>
      </w:r>
    </w:p>
    <w:p w14:paraId="6DA567AC"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design-partner stage should define success criteria explicitly: integration hours, data volume, read/write patterns, existing cost, desired sovereignty capabilities, and exit conditions. Free credits reduce trial cost but must not be counted as revenue or market size.</w:t>
      </w:r>
    </w:p>
    <w:p w14:paraId="7D872DD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Paid Pilots and Developer Launch</w:t>
      </w:r>
    </w:p>
    <w:p w14:paraId="45F7653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Paid pilots should focus on 3–5 concrete workloads and run continuously for several months while measuring performance, repair, billing, support, and migration. Self-service SDKs, S3 Gateway access, credits, and documentation should open only after service becomes stable. A developer launch should prioritize first success, error diagnosis, and data export rather than raw feature count.</w:t>
      </w:r>
    </w:p>
    <w:p w14:paraId="3EF267B6"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Regional Supply and Enterprise Sales</w:t>
      </w:r>
    </w:p>
    <w:p w14:paraId="74819990"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On the supply side, SOVRA should work with regional data centers, hosting providers, community operators, and professional nodes to contract for service quality and usable capacity before discussing token incentives. The enterprise stage adds KMS integration, audits, residency controls, and contractual support and should require positive contribution margin and renewals rather than hiding non-repeatable sales behind custom projects.</w:t>
      </w:r>
    </w:p>
    <w:p w14:paraId="2AED3175" w14:textId="77777777" w:rsidR="00724F85" w:rsidRPr="00AD445F" w:rsidRDefault="00000000">
      <w:pPr>
        <w:pStyle w:val="WPH2"/>
        <w:keepNext/>
        <w:rPr>
          <w:rFonts w:ascii="SimSun" w:eastAsia="SimSun" w:hAnsi="SimSun"/>
        </w:rPr>
      </w:pPr>
      <w:r w:rsidRPr="00AD445F">
        <w:rPr>
          <w:rFonts w:ascii="Aptos" w:eastAsia="Aptos" w:hAnsi="Aptos"/>
        </w:rPr>
        <w:t>North-Star Metric</w:t>
      </w:r>
    </w:p>
    <w:p w14:paraId="688F30FD" w14:textId="77777777" w:rsidR="00724F85" w:rsidRPr="00AD445F" w:rsidRDefault="00000000">
      <w:pPr>
        <w:pStyle w:val="WPBody"/>
        <w:rPr>
          <w:rFonts w:ascii="SimSun" w:eastAsia="SimSun" w:hAnsi="SimSun"/>
        </w:rPr>
      </w:pPr>
      <w:r w:rsidRPr="00AD445F">
        <w:rPr>
          <w:rFonts w:ascii="Aptos" w:eastAsia="Aptos" w:hAnsi="Aptos"/>
        </w:rPr>
        <w:t>SOVRA proposes Verified Paid Data-Months as a core metric: only logical data volume that is genuinely paid, passes proofs, and meets minimum SLA is multiplied by service duration. Promised capacity, free testing, internal traffic, and failed replicas are excluded.</w:t>
      </w:r>
    </w:p>
    <w:p w14:paraId="585751CB" w14:textId="77777777" w:rsidR="001400AB" w:rsidRPr="00AD445F" w:rsidRDefault="00000000" w:rsidP="006878AB">
      <w:pPr>
        <w:pStyle w:val="WPH2"/>
        <w:keepNext/>
        <w:rPr>
          <w:rFonts w:ascii="SimSun" w:eastAsia="SimSun" w:hAnsi="SimSun"/>
          <w:lang w:eastAsia="zh-CN"/>
        </w:rPr>
      </w:pPr>
      <w:r w:rsidRPr="00AD445F">
        <w:rPr>
          <w:rFonts w:ascii="Aptos" w:eastAsia="Aptos" w:hAnsi="Aptos" w:cs="SimSun" w:hint="eastAsia"/>
          <w:lang w:eastAsia="zh-CN"/>
        </w:rPr>
        <w:t>Commercialization Gates</w:t>
      </w:r>
    </w:p>
    <w:p w14:paraId="28E9CA90" w14:textId="77777777" w:rsidR="001400AB" w:rsidRPr="00AD445F" w:rsidRDefault="00000000">
      <w:pPr>
        <w:pStyle w:val="WPBody"/>
        <w:rPr>
          <w:rFonts w:ascii="SimSun" w:eastAsia="SimSun" w:hAnsi="SimSun"/>
          <w:lang w:eastAsia="zh-CN"/>
        </w:rPr>
      </w:pPr>
      <w:r w:rsidRPr="00AD445F">
        <w:rPr>
          <w:rFonts w:ascii="Aptos" w:eastAsia="Aptos" w:hAnsi="Aptos" w:cs="SimSun" w:hint="eastAsia"/>
          <w:lang w:eastAsia="zh-CN"/>
        </w:rPr>
        <w:t>Go-to-market progresses through four gates: design partners prove the problem is real; paid pilots prove customers will commit budget; self-service launch proves integration and support can be standardized; enterprise expansion proves that contracts, compliance, and service margin can be repeated. Each gate should depend on continuous use, renewal, real payment, and service quality rather than letters of intent or free data volume.</w:t>
      </w:r>
    </w:p>
    <w:p w14:paraId="2C0CCCC8"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Pricing experiments must record service fees, discounts, and token subsidies separately. If customers use the network only under heavy subsidy, or node revenue still comes mainly from issuance budgets, the project remains in validation. SOVRA should prioritize workloads that can cover marginal cost and generate retention.</w:t>
      </w:r>
    </w:p>
    <w:p w14:paraId="0218DFAA"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External disclosures should rely only on verifiable material: obtain authorization before naming customers or partners, provide environment and sample details for performance numbers, and link to testnet or audit status with dates. When evidence is unavailable, omission is preferable to vague wording that implies a launch or partnership that has not occurred.</w:t>
      </w:r>
    </w:p>
    <w:p w14:paraId="0F49296B" w14:textId="77777777" w:rsidR="006878AB" w:rsidRPr="00AD445F" w:rsidRDefault="006878AB">
      <w:pPr>
        <w:pStyle w:val="WPKicker"/>
        <w:keepNext/>
        <w:rPr>
          <w:rFonts w:ascii="SimSun" w:eastAsia="SimSun" w:hAnsi="SimSun"/>
          <w:lang w:eastAsia="zh-CN"/>
        </w:rPr>
      </w:pPr>
      <w:r w:rsidRPr="00AD445F">
        <w:rPr>
          <w:rFonts w:ascii="Aptos" w:eastAsia="Aptos" w:hAnsi="Aptos"/>
          <w:lang w:eastAsia="zh-CN"/>
        </w:rPr>
        <w:br w:type="page"/>
      </w:r>
    </w:p>
    <w:p w14:paraId="04C6AB3E"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12 · SOVR</w:t>
      </w:r>
    </w:p>
    <w:p w14:paraId="54A42AEF"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12.1  The Token Is a Coordination Asset, Not the Product Itself</w:t>
      </w:r>
    </w:p>
    <w:p w14:paraId="3910029E"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 is needed for cross-party service payment, collateral, and governance. Without real storage demand, the token cannot create network value by itself.</w:t>
      </w:r>
    </w:p>
    <w:p w14:paraId="3641418A"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Service Payments and Node Revenue</w:t>
      </w:r>
    </w:p>
    <w:p w14:paraId="007C1252"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Users or Gateways use SOVR to settle storage, retrieval, bandwidth, and premium services. Fees enter escrow and are released by epoch and service completion to nodes, verifiers, and protocol public goods. Node revenue is linked to actual occupancy, possession proofs, retrieval QoS, and repair tasks—not self-reported disk capacity or token holdings alone.</w:t>
      </w:r>
    </w:p>
    <w:p w14:paraId="32D7765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user interface can quote prices in stable service units such as USD or Storage Credit and convert to SOVR at execution using a bounded reference price. This reduces the effect of token volatility on product budgets while preserving SOVR’s role in the settlement layer.</w:t>
      </w:r>
    </w:p>
    <w:p w14:paraId="0EE36A9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Staking and Responsibility</w:t>
      </w:r>
    </w:p>
    <w:p w14:paraId="457D857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Nodes and verifiers stake SOVR to increase the cost of Sybil attacks and non-performance. Stake size should relate to the maximum expected loss they can cause, their service role, and order size rather than being set uniformly just to maximize locked supply. Slashing should be progressive and should allow appeal for network faults or incorrect evidence.</w:t>
      </w:r>
    </w:p>
    <w:p w14:paraId="7B766E4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Governance and Ecosystem</w:t>
      </w:r>
    </w:p>
    <w:p w14:paraId="0970761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 can be used to participate in parameter, Treasury, ecosystem-funding, and upgrade proposals. Governance rights do not represent a claim on project-company equity, profit, assets, or cash flow. Ecosystem budgets support SDKs, audits, regional integrations, education, and public tools and should require milestones, conflict-of-interest disclosure, and verifiable delivery.</w:t>
      </w:r>
    </w:p>
    <w:p w14:paraId="3A6E953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Utility First</w:t>
      </w:r>
    </w:p>
    <w:p w14:paraId="3F6012F0" w14:textId="77777777" w:rsidR="00050B1D" w:rsidRPr="00AD445F" w:rsidRDefault="00000000" w:rsidP="00050B1D">
      <w:pPr>
        <w:pStyle w:val="WPBody"/>
        <w:rPr>
          <w:rFonts w:ascii="SimSun" w:eastAsia="SimSun" w:hAnsi="SimSun"/>
          <w:lang w:eastAsia="zh-CN"/>
        </w:rPr>
      </w:pPr>
      <w:r w:rsidRPr="00AD445F">
        <w:rPr>
          <w:rFonts w:ascii="Aptos" w:eastAsia="Aptos" w:hAnsi="Aptos"/>
          <w:lang w:eastAsia="zh-CN"/>
        </w:rPr>
        <w:t>SOVRA should not add burn, buyback, or complex financial mechanics by default merely to create a scarcity narrative. The network should first establish real fees, viable node operations, and a transparent Treasury, then decide whether additional token mechanisms are necessary. Any change requires renewed legal and economic assessment.</w:t>
      </w:r>
    </w:p>
    <w:p w14:paraId="63C3497E"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Why Not Use Stable Assets for Everything?</w:t>
      </w:r>
    </w:p>
    <w:p w14:paraId="55E74B7A"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Stable assets or fiat are suitable for presenting service prices to users and can also be payment instruments at managed on-ramps, but they do not directly provide native node staking, protocol-parameter governance, long-term public-goods budgets, or slashing. A reasonable role for SOVR is to provide one collateral and coordination asset for open participants rather than force every end user to bear price volatility.</w:t>
      </w:r>
    </w:p>
    <w:p w14:paraId="254765F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This also means the protocol should keep SOVR’s functions within necessary bounds. Problems solvable through ordinary service billing do not need extra financialization, and responsibilities solvable through clear contracts should not be replaced entirely by token voting. Token demand can arise from actual settlement and collateral but does not guarantee price appreciation.</w:t>
      </w:r>
    </w:p>
    <w:p w14:paraId="3F1F2B4A"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Functional Boundaries</w:t>
      </w:r>
    </w:p>
    <w:p w14:paraId="29CC9412"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Holding SOVR does not represent equity in the project company, revenue sharing, claims on assets, or fixed returns. Node rewards compensate for verifiable resources, service outcomes, and risk-bearing, while governance rights remain constrained by proposal scope, professional responsibility, timelocks, and security authority. Public materials should always explain the network service before explaining token utility.</w:t>
      </w:r>
    </w:p>
    <w:p w14:paraId="28593661"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12.2  Fixed Cap and Proposed Allocation</w:t>
      </w:r>
    </w:p>
    <w:p w14:paraId="0187F7CA"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 has a fixed maximum supply of 200,000,000. The allocation framework supports long-term network development and remains subject to the final on-chain arrangements.</w:t>
      </w:r>
    </w:p>
    <w:p w14:paraId="5839BDF9" w14:textId="77777777" w:rsidR="00724F85" w:rsidRPr="00AD445F" w:rsidRDefault="00000000">
      <w:pPr>
        <w:spacing w:after="40"/>
        <w:jc w:val="center"/>
        <w:rPr>
          <w:rFonts w:ascii="SimSun" w:eastAsia="SimSun" w:hAnsi="SimSun"/>
        </w:rPr>
      </w:pPr>
      <w:r w:rsidRPr="00AD445F">
        <w:rPr>
          <w:rFonts w:ascii="Aptos" w:eastAsia="Aptos" w:hAnsi="Aptos"/>
          <w:noProof/>
        </w:rPr>
        <w:drawing>
          <wp:inline distT="0" distB="0" distL="0" distR="0" wp14:anchorId="33132CFD" wp14:editId="01B1A2FB">
            <wp:extent cx="6372000" cy="39356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ocation.png"/>
                    <pic:cNvPicPr/>
                  </pic:nvPicPr>
                  <pic:blipFill>
                    <a:blip r:embed="rId13"/>
                    <a:stretch>
                      <a:fillRect/>
                    </a:stretch>
                  </pic:blipFill>
                  <pic:spPr>
                    <a:xfrm>
                      <a:off x="0" y="0"/>
                      <a:ext cx="6372000" cy="3935647"/>
                    </a:xfrm>
                    <a:prstGeom prst="rect">
                      <a:avLst/>
                    </a:prstGeom>
                  </pic:spPr>
                </pic:pic>
              </a:graphicData>
            </a:graphic>
          </wp:inline>
        </w:drawing>
      </w:r>
    </w:p>
    <w:p w14:paraId="3A39DF23" w14:textId="77777777" w:rsidR="00724F85" w:rsidRPr="00AD445F" w:rsidRDefault="00000000">
      <w:pPr>
        <w:pStyle w:val="WPCaption"/>
        <w:jc w:val="center"/>
        <w:rPr>
          <w:rFonts w:ascii="SimSun" w:eastAsia="SimSun" w:hAnsi="SimSun"/>
          <w:lang w:eastAsia="zh-CN"/>
        </w:rPr>
      </w:pPr>
      <w:r w:rsidRPr="00AD445F">
        <w:rPr>
          <w:rFonts w:ascii="Aptos" w:eastAsia="Aptos" w:hAnsi="Aptos"/>
          <w:lang w:eastAsia="zh-CN"/>
        </w:rPr>
        <w:t>Figure 4 · Proposed SOVR allocation: Node Rewards 35%, Ecosystem 20%, Treasury 15%, Team 12%, Strategic 8%, Liquidity 5%, Community 5%.</w:t>
      </w:r>
    </w:p>
    <w:p w14:paraId="5932134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Node Rewards account for 70,000,000 SOVR to bootstrap verifiable storage and bandwidth supply over multiple years; Ecosystem receives 40,000,000 for developers, partners, and public tools; Treasury receives 30,000,000 for security, protocol, and operating reserves; Team receives 24,000,000 and Strategic 16,000,000, both subject to long-term lockups; Liquidity and Community receive 10,000,000 each for product availability, education, and early participation.</w:t>
      </w:r>
    </w:p>
    <w:p w14:paraId="711BB67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Before formal issuance, genesis addresses, beneficiary categories, unlock contracts, amendment authority, Treasury multisig arrangements, market-making or token-lending arrangements, and the method for calculating circulating supply should all be public. Node Rewards should be released only for verifiable service, and unused budget should not automatically accelerate into circulation merely because time has elapsed.</w:t>
      </w:r>
    </w:p>
    <w:p w14:paraId="4F348564" w14:textId="77777777" w:rsidR="00050B1D" w:rsidRPr="00AD445F" w:rsidRDefault="00050B1D" w:rsidP="00050B1D">
      <w:pPr>
        <w:rPr>
          <w:rFonts w:ascii="SimSun" w:eastAsia="SimSun" w:hAnsi="SimSun"/>
          <w:lang w:eastAsia="zh-CN"/>
        </w:rPr>
      </w:pPr>
    </w:p>
    <w:p w14:paraId="2CEE3F25"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Allocation Principles</w:t>
      </w:r>
    </w:p>
    <w:p w14:paraId="4AF944E9"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35% Node Rewards allocation is a multi-year supply-bootstrapping budget, not circulating supply at genesis. Ecosystem and Treasury budgets become actual expenditure only when specific programs are approved and executed. Team and Strategic allocations require long lockups, on-chain verifiable vesting, and related-party disclosure. Allocation percentages describe resource purposes and should not be misread as day-one circulation.</w:t>
      </w:r>
    </w:p>
    <w:p w14:paraId="57D569A6"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Supply and Circulation Definitions</w:t>
      </w:r>
    </w:p>
    <w:p w14:paraId="3142D854"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protocol should publish maximum supply, minted supply, circulating supply, locked supply, available Treasury balance, committed-but-unpaid budgets, and new release during the current period. The circulation methodology should state whether locked tokens, unclaimed rewards, protocol-held tokens, and market-making loans are excluded and should provide a reviewable address list.</w:t>
      </w:r>
    </w:p>
    <w:p w14:paraId="6C71CBE1"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 xml:space="preserve">Before final issuance, the project should also publish the genesis transaction, token program and decimals, administrator authority, burn or mint capability, vesting contracts, Treasury multisig, market-making or token-lending </w:t>
      </w:r>
      <w:r w:rsidRPr="00AD445F">
        <w:rPr>
          <w:rFonts w:ascii="Aptos" w:eastAsia="Aptos" w:hAnsi="Aptos"/>
          <w:lang w:eastAsia="zh-CN"/>
        </w:rPr>
        <w:lastRenderedPageBreak/>
        <w:t>arrangements, and any authority capable of changing supply or circulation. A fixed cap has full meaning only when those controls are transparent as well.</w:t>
      </w:r>
    </w:p>
    <w:p w14:paraId="64A76DDF"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12.3  Issuance, Unlocking, and Circulation Discipline</w:t>
      </w:r>
    </w:p>
    <w:p w14:paraId="062EFCE0"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Unlock schedules must serve long-term building, verifiable supply, and market transparency. All final parameters should be confirmed before issuance through on-chain contracts and public documents.</w:t>
      </w:r>
    </w:p>
    <w:p w14:paraId="53A7D053"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Unlock and Release Principles</w:t>
      </w:r>
    </w:p>
    <w:p w14:paraId="67EFEDC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Team allocation should include a cliff of at least one year followed by multi-year linear vesting. Strategic allocation should use long lockups to avoid short-term supply concentration. Ecosystem and Treasury funds should be disbursed against public budgets and milestones. Node Rewards should be released according to actual service rather than distributed unconditionally on a calendar.</w:t>
      </w:r>
    </w:p>
    <w:p w14:paraId="7A8194C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early network may use higher node incentives to establish regional supply, but each stage should measure how much real service fees cover node payouts. If demand grows slowly, the protocol should reduce current release, narrow target regions, or extend the budget rather than weaken proof standards.</w:t>
      </w:r>
    </w:p>
    <w:p w14:paraId="58366E70"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TGE Prerequisites</w:t>
      </w:r>
    </w:p>
    <w:p w14:paraId="3B37A32B"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Before any TGE or public circulation, the project should at minimum have an operational network, completed security assessment of token and vesting contracts, applicable legal review, disclosed genesis addresses and authorities, a circulating-supply dashboard, Treasury signing arrangements, and disclosed market-service relationships. If these conditions are incomplete, issuance should be delayed rather than using a token calendar to force engineering deadlines.</w:t>
      </w:r>
    </w:p>
    <w:p w14:paraId="607B7259"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If whitelist, private placement, community allocation, liquidity, and node rewards use different unlock methods, a single final table should show day-one availability, cliff, release period, and any authority to change terms early. Side agreements, token loans, or off-chain commitments should not bypass disclosed vesting.</w:t>
      </w:r>
    </w:p>
    <w:p w14:paraId="7ADEB657"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Circulation Discipline</w:t>
      </w:r>
    </w:p>
    <w:p w14:paraId="4D062B07"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Treasury and ecosystem budgets should be approved quarterly or by milestone, with unused amounts remaining locked. Node Rewards should be released only for service that passes proofs and minimum SLA. Team and Strategic shares should use long-term vesting with departure, breach, and transfer rules. The protocol should not accelerate releases or alter existing beneficiary conditions in response to market volatility.</w:t>
      </w:r>
    </w:p>
    <w:p w14:paraId="00AD9C50" w14:textId="77777777" w:rsidR="001400AB" w:rsidRPr="00AD445F" w:rsidRDefault="00000000">
      <w:pPr>
        <w:pStyle w:val="WPPageTitle"/>
        <w:keepNext/>
        <w:rPr>
          <w:rFonts w:ascii="SimSun" w:eastAsia="SimSun" w:hAnsi="SimSun"/>
          <w:lang w:eastAsia="zh-CN"/>
        </w:rPr>
      </w:pPr>
      <w:r w:rsidRPr="00AD445F">
        <w:rPr>
          <w:rFonts w:ascii="Aptos" w:eastAsia="Aptos" w:hAnsi="Aptos"/>
          <w:lang w:eastAsia="zh-CN"/>
        </w:rPr>
        <w:t>12.4  Stable Pricing and Service Settlement</w:t>
      </w:r>
    </w:p>
    <w:p w14:paraId="1F526AB4" w14:textId="77777777" w:rsidR="001400AB" w:rsidRPr="00AD445F" w:rsidRDefault="00000000">
      <w:pPr>
        <w:pStyle w:val="WPDeck"/>
        <w:keepNext/>
        <w:rPr>
          <w:rFonts w:ascii="SimSun" w:eastAsia="SimSun" w:hAnsi="SimSun"/>
          <w:lang w:eastAsia="zh-CN"/>
        </w:rPr>
      </w:pPr>
      <w:r w:rsidRPr="00AD445F">
        <w:rPr>
          <w:rFonts w:ascii="Aptos" w:eastAsia="Aptos" w:hAnsi="Aptos"/>
          <w:lang w:eastAsia="zh-CN"/>
        </w:rPr>
        <w:t>Product prices should be determined by service units, while SOVR handles protocol settlement. Separating the two reduces interference from token volatility in customer budgets and node operations.</w:t>
      </w:r>
    </w:p>
    <w:p w14:paraId="37D4335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Service Pricing and Settlement</w:t>
      </w:r>
    </w:p>
    <w:p w14:paraId="62C3500F"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Services can be displayed to users in USD or in non-transferable Credits. The amount of SOVR payable is calculated from service units multiplied by a stable rate and divided by a multi-source, time-weighted, bounded SOVR reference price. If the oracle is stale, sources are insufficient, or divergence is excessive, the system should pause new long-term contracts or shorten quote validity rather than continue charging at abnormal prices.</w:t>
      </w:r>
    </w:p>
    <w:p w14:paraId="79E34CCD"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Managed Gateway that accepts fiat or stable assets introduces custody, payment, foreign-exchange, AML, tax, and counterparty risks. The product must explain these risks separately from protocol-native payment.</w:t>
      </w:r>
    </w:p>
    <w:p w14:paraId="20065042"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Price Sources and Circuit Breakers</w:t>
      </w:r>
    </w:p>
    <w:p w14:paraId="2D41AA27"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SOVR conversion prices should come from multiple independent sources and use time weighting, median selection, maximum deviation, and update deadlines. If there are too few sources, a price jumps abnormally, or the oracle becomes stale, the system may shorten quote validity, cap order size, or pause new long-term contracts, but it must not prevent users from reading or exiting existing data.</w:t>
      </w:r>
    </w:p>
    <w:p w14:paraId="4B295A28"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lastRenderedPageBreak/>
        <w:t>The Product Role of Storage Credit</w:t>
      </w:r>
    </w:p>
    <w:p w14:paraId="0C748F0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Storage Credit can serve as a non-transferable or purpose-limited service accounting unit tied to a fixed amount of logical capacity, duration, or retrieval allowance. It helps developers prepay budgets, receive fiat-denominated invoices, and isolate short-term volatility, but it should not be packaged as another tradable token and must not obscure the eventual SOVR settlement and payment cost.</w:t>
      </w:r>
    </w:p>
    <w:p w14:paraId="6E9F682A"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Enterprise or managed Gateways can perform conversion and settlement on behalf of users, while the protocol-native path allows advanced users to pay SOVR directly. Both paths must produce the same service receipts and object state so payment convenience does not evolve into technical lock-in to a single custodian.</w:t>
      </w:r>
    </w:p>
    <w:p w14:paraId="746BF9AF" w14:textId="77777777" w:rsidR="001400AB" w:rsidRPr="00AD445F" w:rsidRDefault="00000000">
      <w:pPr>
        <w:pStyle w:val="WPPageTitle"/>
        <w:keepNext/>
        <w:rPr>
          <w:rFonts w:ascii="SimSun" w:eastAsia="SimSun" w:hAnsi="SimSun"/>
          <w:lang w:eastAsia="zh-CN"/>
        </w:rPr>
      </w:pPr>
      <w:r w:rsidRPr="00AD445F">
        <w:rPr>
          <w:rFonts w:ascii="Aptos" w:eastAsia="Aptos" w:hAnsi="Aptos"/>
          <w:lang w:eastAsia="zh-CN"/>
        </w:rPr>
        <w:t>12.5  Node Unit Economics and Subsidy Tapering</w:t>
      </w:r>
    </w:p>
    <w:p w14:paraId="6D56941A" w14:textId="77777777" w:rsidR="001400AB" w:rsidRPr="00AD445F" w:rsidRDefault="00000000">
      <w:pPr>
        <w:pStyle w:val="WPDeck"/>
        <w:keepNext/>
        <w:rPr>
          <w:rFonts w:ascii="SimSun" w:eastAsia="SimSun" w:hAnsi="SimSun"/>
          <w:lang w:eastAsia="zh-CN"/>
        </w:rPr>
      </w:pPr>
      <w:r w:rsidRPr="00AD445F">
        <w:rPr>
          <w:rFonts w:ascii="Aptos" w:eastAsia="Aptos" w:hAnsi="Aptos"/>
          <w:lang w:eastAsia="zh-CN"/>
        </w:rPr>
        <w:t>Nodes must be able to produce a calculable operating result from verifiable service, while subsidies should decline as demand and fee coverage improve.</w:t>
      </w:r>
    </w:p>
    <w:p w14:paraId="2D7C881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Node Unit Economics</w:t>
      </w:r>
    </w:p>
    <w:p w14:paraId="1D7D50FE"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 node’s monthly operating result equals storage revenue, retrieval revenue, and temporary verification incentives minus bandwidth, electricity, hardware depreciation, operations, capital cost, and expected penalties. The most sensitive variables are usually utilization, coding overhead, regional bandwidth, and read volume. A low-utilization node may fail to cover fixed costs even at a high nominal unit price.</w:t>
      </w:r>
    </w:p>
    <w:p w14:paraId="6B98DF10"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Rewards should therefore steer supply toward regions and media where real demand exists rather than indiscriminately subsidize idle disks. Only by continuously publishing proof, repair, and on-chain amortization per TB-month can the protocol evaluate whether user pricing and node income are both sustainable.</w:t>
      </w:r>
    </w:p>
    <w:p w14:paraId="62B24AE4" w14:textId="77777777" w:rsidR="00050B1D" w:rsidRPr="00AD445F" w:rsidRDefault="00050B1D" w:rsidP="00050B1D">
      <w:pPr>
        <w:rPr>
          <w:rFonts w:ascii="SimSun" w:eastAsia="SimSun" w:hAnsi="SimSun"/>
          <w:lang w:eastAsia="zh-CN"/>
        </w:rPr>
      </w:pPr>
    </w:p>
    <w:p w14:paraId="6CF00430"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A Calculable Operating Formula</w:t>
      </w:r>
    </w:p>
    <w:p w14:paraId="4EDD8CD7"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Node operating result can be expressed as: storage fees + successful retrieval and Edge fees + repair-task fees + temporary subsidies − bandwidth − electricity − hardware depreciation − operations and facility cost − capital cost − expected penalties. The protocol must calculate this using logical data volume, actual physical occupancy, utilization, and retrieval mix rather than comparing only nominal price per TB.</w:t>
      </w:r>
    </w:p>
    <w:p w14:paraId="2470E10F"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same node may have completely different break-even points by region, media type, and utilization. Formal fee schedules should be derived from real testing and operator quotes and should publish their assumption ranges. When measured data is unavailable, this whitepaper provides variables and a calculation framework rather than inventing a “network-wide cost” or guaranteeing node returns.</w:t>
      </w:r>
    </w:p>
    <w:p w14:paraId="1976C4D5"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Fee Coverage and Subsidy-Taper Triggers</w:t>
      </w:r>
    </w:p>
    <w:p w14:paraId="7C69E4AF"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The network should continuously publish fee coverage: the share of total qualified node revenue funded by real customer service fees paid to resource providers. Subsidy tapering can consider fee coverage, paid utilization, customer retention, regional supply, and SLA together. Supply budgets should expand only when demand and service quality improve.</w:t>
      </w:r>
    </w:p>
    <w:p w14:paraId="05770E74"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If a region remains underutilized, shows abnormal farming, or cannot cover marginal cost with real fees, the protocol should lower reward caps, pause new capacity, or reprice service rather than continue hiding the mismatch through issuance. Node budgets are intended to cross the cold-start gap, not permanently replace customer payment.</w:t>
      </w:r>
    </w:p>
    <w:p w14:paraId="43723BCD"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12.6  Protocol Revenue, Treasury, and Progressive Governance</w:t>
      </w:r>
    </w:p>
    <w:p w14:paraId="106D0224"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Most user payments should flow to participants that actually provide storage and bandwidth, while protocol revenue funds verifiable public capabilities.</w:t>
      </w:r>
    </w:p>
    <w:p w14:paraId="40F7CA50"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Fee Flows</w:t>
      </w:r>
    </w:p>
    <w:p w14:paraId="7D19317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Base storage fees primarily pay storage nodes. Retrieval and Edge fees pay retrieval nodes according to successfully served bytes and QoS. Verification fees pay verifiers that correctly participate in batches. A smaller share goes to the protocol Treasury and security reserve. Exact percentages should be set after testing real operating costs and published by version.</w:t>
      </w:r>
    </w:p>
    <w:p w14:paraId="4A8C3465"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Insurance or security reserves should be used only for explicitly defined events, caps, and governance conditions and should not become discretionary operating funds. Protocol fees and node fees should be shown separately on bills so users can see what they are paying for.</w:t>
      </w:r>
    </w:p>
    <w:p w14:paraId="7FC2D22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Treasury Transparency</w:t>
      </w:r>
    </w:p>
    <w:p w14:paraId="7004ABE8"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Treasury expenditure should be categorized into security, protocol, ecosystem, operations, and reserves. Monthly on-chain fund flows and quarterly reports should disclose opening and closing balances, committed budgets, actual expenditure, beneficiary categories, related parties, node subsidies, and real service fees. Governance votes must correspond to the final executed transaction and evidence of delivery.</w:t>
      </w:r>
    </w:p>
    <w:p w14:paraId="7E43D4A5"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Progressive Governance</w:t>
      </w:r>
    </w:p>
    <w:p w14:paraId="0B41B76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During the prototype stage, the core team manages code and testnets. In Mainnet Beta, multisig signers and independent security members jointly control upgrades and risk limits. As the protocol matures, SIPs, token governance, and professional committees gradually assume control of fees, Treasury policy, and node policy. Emergency powers shrink with system maturity rather than remaining permanent.</w:t>
      </w:r>
    </w:p>
    <w:p w14:paraId="7325AED3"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SIP process includes drafting, public review, testing, voting, timelock, and post-deployment review. Ordinary parameters, major economic changes, security fixes, and irreversible authorities use different thresholds. The goal of governance is not to decide every issue through a single token vote, but to assign appropriate decisions to appropriately accountable bodies.</w:t>
      </w:r>
    </w:p>
    <w:p w14:paraId="07B0CEA4" w14:textId="77777777" w:rsidR="00724F85" w:rsidRPr="00AD445F" w:rsidRDefault="00724F85">
      <w:pPr>
        <w:pStyle w:val="WPSmall"/>
        <w:spacing w:after="0"/>
        <w:rPr>
          <w:rFonts w:ascii="SimSun" w:eastAsia="SimSun" w:hAnsi="SimSun"/>
          <w:lang w:eastAsia="zh-CN"/>
        </w:rPr>
      </w:pPr>
    </w:p>
    <w:p w14:paraId="24F411F7"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Boundary: Protocol Revenue Is Not Holder Yield</w:t>
      </w:r>
    </w:p>
    <w:p w14:paraId="426206E6"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Protocol fees fund network maintenance, risk reserves, and public goods and should not be described as automatic dividends, buybacks, or fixed returns for SOVR holders. Holding, staking, providing service, and carrying governance responsibility are different roles, and any economic right must arise from explicit rules and actual performance.</w:t>
      </w:r>
    </w:p>
    <w:p w14:paraId="45AF7B0C"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Revenue–Security Feedback Loop</w:t>
      </w:r>
    </w:p>
    <w:p w14:paraId="78105EDC"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Protocol revenue should first sustain proofs, repair, audits, bug bounties, developer tools, and incident reserves so that more real usage can strengthen service security. The Treasury may accumulate necessary operating buffers, but protocol fees should not be designed by default as dividends, buybacks, or fixed returns to token holders.</w:t>
      </w:r>
    </w:p>
    <w:p w14:paraId="27142685"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Any future burn, buyback, revenue-sharing, or collateralized derivative mechanism would constitute a major economic change and must be separately assessed for security, liquidity, legal, and incentive consequences. Such mechanisms should require public proposals, simulation, audit, timelocks, and clear exit arrangements and should not be used to manufacture scarcity narratives before real revenue exists.</w:t>
      </w:r>
    </w:p>
    <w:p w14:paraId="4B1674E3"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Governance Capture Resistance</w:t>
      </w:r>
    </w:p>
    <w:p w14:paraId="378F07A0"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 xml:space="preserve">Token voting needs protections against low participation, delegation concentration, temporarily borrowed voting power, and conflicts of interest. Major proposals may use snapshot periods, minimum participation thresholds, supermajorities, </w:t>
      </w:r>
      <w:r w:rsidRPr="00AD445F">
        <w:rPr>
          <w:rFonts w:ascii="Aptos" w:eastAsia="Aptos" w:hAnsi="Aptos"/>
          <w:lang w:eastAsia="zh-CN"/>
        </w:rPr>
        <w:lastRenderedPageBreak/>
        <w:t>delegate disclosure, and execution delays. Matters involving cryptography, security response, or legal responsibility should receive recommendations from professionally accountable committees, with governance approving scope and budget.</w:t>
      </w:r>
    </w:p>
    <w:p w14:paraId="052452D4"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Governance delegates should disclose delegation sources, affiliations, and compensation, and Treasury beneficiaries should not lead their own grants without disclosing conflicts. An emergency committee should be able to pause only narrowly defined functions during defined events and should publish reasons, submit to review, and expire automatically within a short period so temporary powers do not become permanent.</w:t>
      </w:r>
    </w:p>
    <w:p w14:paraId="5D8A505A"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Economic Transparency Dashboard</w:t>
      </w:r>
    </w:p>
    <w:p w14:paraId="1E397586"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A public dashboard should place token supply and network operations in one view: circulating and locked supply, future unlocks, node rewards, real service fees, subsidy share, paid data volume, utilization, Treasury balance and spending, oracle state, and movements of large addresses. Only by seeing usage and issuance together can readers judge whether economic activity comes from customer demand or budget release.</w:t>
      </w:r>
    </w:p>
    <w:p w14:paraId="1D5E4D94"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Dashboard definitions, data sources, and update times should be versioned and should allow third parties to recompute the figures from on-chain transactions, contract receipts, and public data. Historical revisions should preserve old values and reasons rather than overwriting the record. Verifiable disclosure is itself part of protocol credibility.</w:t>
      </w:r>
    </w:p>
    <w:p w14:paraId="45D2ED93" w14:textId="77777777" w:rsidR="00724F85" w:rsidRPr="00AD445F" w:rsidRDefault="00000000">
      <w:pPr>
        <w:rPr>
          <w:rFonts w:ascii="SimSun" w:eastAsia="SimSun" w:hAnsi="SimSun"/>
          <w:lang w:eastAsia="zh-CN"/>
        </w:rPr>
      </w:pPr>
      <w:r w:rsidRPr="00AD445F">
        <w:rPr>
          <w:rFonts w:ascii="Aptos" w:eastAsia="Aptos" w:hAnsi="Aptos"/>
          <w:lang w:eastAsia="zh-CN"/>
        </w:rPr>
        <w:br w:type="page"/>
      </w:r>
    </w:p>
    <w:p w14:paraId="47F0ECD4"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CHAPTER 13 · ROADMAP</w:t>
      </w:r>
    </w:p>
    <w:p w14:paraId="00BA6559"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13.1  Advance Through Acceptance Gates, Not a Token Calendar</w:t>
      </w:r>
    </w:p>
    <w:p w14:paraId="09CEC321"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SOVRA moves between stages based on security, performance, economic, and demand evidence. No date should take priority over launch conditions.</w:t>
      </w:r>
    </w:p>
    <w:p w14:paraId="5C207A84"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 xml:space="preserve">Research Prototype and </w:t>
      </w:r>
      <w:proofErr w:type="spellStart"/>
      <w:r w:rsidRPr="00AD445F">
        <w:rPr>
          <w:rFonts w:ascii="Aptos" w:eastAsia="Aptos" w:hAnsi="Aptos"/>
          <w:lang w:eastAsia="zh-CN"/>
        </w:rPr>
        <w:t>Devnet</w:t>
      </w:r>
      <w:proofErr w:type="spellEnd"/>
    </w:p>
    <w:p w14:paraId="650901C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prototype stage implements encrypted objects, manifests, chunking, erasure coding, basic nodes, proof experiments, and a byte-level cost model and performs failure recovery in local or controlled environments. Devnet adds upload, retrieval, node registration, escrow, basic monitoring, and an SDK alpha so design partners can integrate using test data.</w:t>
      </w:r>
    </w:p>
    <w:p w14:paraId="25959C5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exit criteria for this stage are not a feature demo. Encryption and coding results must be reproducible, fault injection must produce understood outcomes, clients must be able to export data, and the cost model must include on-chain and repair overhead.</w:t>
      </w:r>
    </w:p>
    <w:p w14:paraId="779B6ACD"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 xml:space="preserve">Incentivized </w:t>
      </w:r>
      <w:proofErr w:type="spellStart"/>
      <w:r w:rsidRPr="00AD445F">
        <w:rPr>
          <w:rFonts w:ascii="Aptos" w:eastAsia="Aptos" w:hAnsi="Aptos"/>
          <w:lang w:eastAsia="zh-CN"/>
        </w:rPr>
        <w:t>Testnet</w:t>
      </w:r>
      <w:proofErr w:type="spellEnd"/>
      <w:r w:rsidRPr="00AD445F">
        <w:rPr>
          <w:rFonts w:ascii="Aptos" w:eastAsia="Aptos" w:hAnsi="Aptos"/>
          <w:lang w:eastAsia="zh-CN"/>
        </w:rPr>
        <w:t xml:space="preserve"> and </w:t>
      </w:r>
      <w:proofErr w:type="spellStart"/>
      <w:r w:rsidRPr="00AD445F">
        <w:rPr>
          <w:rFonts w:ascii="Aptos" w:eastAsia="Aptos" w:hAnsi="Aptos"/>
          <w:lang w:eastAsia="zh-CN"/>
        </w:rPr>
        <w:t>Mainnet</w:t>
      </w:r>
      <w:proofErr w:type="spellEnd"/>
      <w:r w:rsidRPr="00AD445F">
        <w:rPr>
          <w:rFonts w:ascii="Aptos" w:eastAsia="Aptos" w:hAnsi="Aptos"/>
          <w:lang w:eastAsia="zh-CN"/>
        </w:rPr>
        <w:t xml:space="preserve"> Beta</w:t>
      </w:r>
    </w:p>
    <w:p w14:paraId="205D3954"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The testnet introduces multi-region nodes, possession proofs, retrieval audits, repair, scoring, staking, and economic simulation. External security assessment, legal paths, key ceremonies, and emergency drills should all be completed before Mainnet Beta. Testnet rewards must not hide proof failures or node correlations.</w:t>
      </w:r>
    </w:p>
    <w:p w14:paraId="336D12EC" w14:textId="77777777" w:rsidR="00724F85" w:rsidRPr="00AD445F" w:rsidRDefault="00000000">
      <w:pPr>
        <w:pStyle w:val="WPBody"/>
        <w:rPr>
          <w:rFonts w:ascii="SimSun" w:eastAsia="SimSun" w:hAnsi="SimSun"/>
          <w:lang w:eastAsia="zh-CN"/>
        </w:rPr>
      </w:pPr>
      <w:proofErr w:type="spellStart"/>
      <w:r w:rsidRPr="00AD445F">
        <w:rPr>
          <w:rFonts w:ascii="Aptos" w:eastAsia="Aptos" w:hAnsi="Aptos"/>
          <w:lang w:eastAsia="zh-CN"/>
        </w:rPr>
        <w:t>Mainnet</w:t>
      </w:r>
      <w:proofErr w:type="spellEnd"/>
      <w:r w:rsidRPr="00AD445F">
        <w:rPr>
          <w:rFonts w:ascii="Aptos" w:eastAsia="Aptos" w:hAnsi="Aptos"/>
          <w:lang w:eastAsia="zh-CN"/>
        </w:rPr>
        <w:t xml:space="preserve"> Beta should accept only controlled nodes and limited funds, serve real paid pilots, and publish status, incidents, and recovery. If false proof penalties, repair time, escrow safety, or critical security issues fail the acceptance thresholds, the project should not force an opening merely to capture a market window.</w:t>
      </w:r>
    </w:p>
    <w:p w14:paraId="7A7BC58B"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Regional Expansion and Governance Maturity</w:t>
      </w:r>
    </w:p>
    <w:p w14:paraId="79564F37"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After the network is stable in a small number of regions, it can add Edge, S3 Gateway, enterprise KMS, and multiple payment methods and expand supply with regional partners. After roughly 24 months, focus may shift toward SIPs, Treasury governance, enterprise SLAs, AI data, and more open node participation—provided local SLAs and fee coverage are already stable.</w:t>
      </w:r>
    </w:p>
    <w:p w14:paraId="7F29FC91"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Stage Metrics</w:t>
      </w:r>
    </w:p>
    <w:p w14:paraId="08CB562B"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Each stage should track demand, product, quality, cost, supply, security, and compliance together. The project should move to the next stage only when it has real paying customers, reproducible SDK integration, continuous service data, independent failure domains, a clear fee path, and closed-loop resolution of security issues.</w:t>
      </w:r>
    </w:p>
    <w:p w14:paraId="7BB55D19" w14:textId="77777777" w:rsidR="00050B1D" w:rsidRPr="00AD445F" w:rsidRDefault="00050B1D" w:rsidP="00050B1D">
      <w:pPr>
        <w:rPr>
          <w:rFonts w:ascii="SimSun" w:eastAsia="SimSun" w:hAnsi="SimSun"/>
          <w:lang w:eastAsia="zh-CN"/>
        </w:rPr>
      </w:pPr>
    </w:p>
    <w:p w14:paraId="77C19219" w14:textId="77777777" w:rsidR="001400AB" w:rsidRPr="00AD445F" w:rsidRDefault="00000000">
      <w:pPr>
        <w:pStyle w:val="WPH2"/>
        <w:keepNext/>
        <w:rPr>
          <w:rFonts w:ascii="SimSun" w:eastAsia="SimSun" w:hAnsi="SimSun"/>
          <w:lang w:eastAsia="zh-CN"/>
        </w:rPr>
      </w:pPr>
      <w:r w:rsidRPr="00AD445F">
        <w:rPr>
          <w:rFonts w:ascii="Aptos" w:eastAsia="Aptos" w:hAnsi="Aptos"/>
          <w:lang w:eastAsia="zh-CN"/>
        </w:rPr>
        <w:t>Public Milestone Cards</w:t>
      </w:r>
    </w:p>
    <w:p w14:paraId="580EB940"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Each stage should publish a verifiable milestone card listing code or version, test environment, nodes and failure domains, workloads, measurement window, known limitations, security reviews, incidents, and exit criteria for the next stage. Unmet items should remain explicitly incomplete rather than being rewritten away by new roadmap language.</w:t>
      </w:r>
    </w:p>
    <w:p w14:paraId="47E5A2F1" w14:textId="77777777" w:rsidR="001400AB" w:rsidRPr="00AD445F" w:rsidRDefault="00000000">
      <w:pPr>
        <w:pStyle w:val="WPBody"/>
        <w:rPr>
          <w:rFonts w:ascii="SimSun" w:eastAsia="SimSun" w:hAnsi="SimSun"/>
          <w:lang w:eastAsia="zh-CN"/>
        </w:rPr>
      </w:pPr>
      <w:r w:rsidRPr="00AD445F">
        <w:rPr>
          <w:rFonts w:ascii="Aptos" w:eastAsia="Aptos" w:hAnsi="Aptos"/>
          <w:lang w:eastAsia="zh-CN"/>
        </w:rPr>
        <w:t>Stage review should not rely solely on self-reporting by the team. Critical cryptography, smart contracts, and fund flows require independent review; performance and durability require reproducible tests; paid pilots require anonymized or authorized usage evidence; and governance authority requires verifiable on-chain addresses and timelocks. In this way, the roadmap becomes a chain of engineering and market evidence rather than a calendar.</w:t>
      </w:r>
    </w:p>
    <w:p w14:paraId="4FA8D775"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lastRenderedPageBreak/>
        <w:t>13.2  Core Risks and Mitigation Directions</w:t>
      </w:r>
    </w:p>
    <w:p w14:paraId="1B5E9087"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The risk register is not a disclaimer appendix. It is an ongoing input to product and governance decisions.</w:t>
      </w:r>
    </w:p>
    <w:tbl>
      <w:tblPr>
        <w:tblW w:w="0" w:type="auto"/>
        <w:jc w:val="center"/>
        <w:tblLayout w:type="fixed"/>
        <w:tblLook w:val="04A0" w:firstRow="1" w:lastRow="0" w:firstColumn="1" w:lastColumn="0" w:noHBand="0" w:noVBand="1"/>
      </w:tblPr>
      <w:tblGrid>
        <w:gridCol w:w="2916"/>
        <w:gridCol w:w="3046"/>
        <w:gridCol w:w="3636"/>
      </w:tblGrid>
      <w:tr w:rsidR="00724F85" w:rsidRPr="00AD445F" w14:paraId="34BE6A01" w14:textId="77777777" w:rsidTr="00050B1D">
        <w:trPr>
          <w:trHeight w:val="235"/>
          <w:tblHeader/>
          <w:jc w:val="center"/>
        </w:trPr>
        <w:tc>
          <w:tcPr>
            <w:tcW w:w="2916" w:type="dxa"/>
            <w:shd w:val="clear" w:color="auto" w:fill="142033"/>
            <w:tcMar>
              <w:top w:w="85" w:type="dxa"/>
              <w:left w:w="100" w:type="dxa"/>
              <w:bottom w:w="85" w:type="dxa"/>
              <w:right w:w="100" w:type="dxa"/>
            </w:tcMar>
            <w:vAlign w:val="center"/>
          </w:tcPr>
          <w:p w14:paraId="15DB4989" w14:textId="77777777" w:rsidR="00724F85" w:rsidRPr="00AD445F" w:rsidRDefault="00000000">
            <w:pPr>
              <w:spacing w:after="0"/>
              <w:rPr>
                <w:rFonts w:ascii="SimSun" w:eastAsia="SimSun" w:hAnsi="SimSun"/>
              </w:rPr>
            </w:pPr>
            <w:r w:rsidRPr="00AD445F">
              <w:rPr>
                <w:rFonts w:ascii="Aptos" w:eastAsia="Aptos" w:hAnsi="Aptos"/>
                <w:b/>
                <w:color w:val="FFFFFF"/>
                <w:sz w:val="13"/>
              </w:rPr>
              <w:t>Risk</w:t>
            </w:r>
          </w:p>
        </w:tc>
        <w:tc>
          <w:tcPr>
            <w:tcW w:w="3046" w:type="dxa"/>
            <w:shd w:val="clear" w:color="auto" w:fill="142033"/>
            <w:tcMar>
              <w:top w:w="85" w:type="dxa"/>
              <w:left w:w="100" w:type="dxa"/>
              <w:bottom w:w="85" w:type="dxa"/>
              <w:right w:w="100" w:type="dxa"/>
            </w:tcMar>
            <w:vAlign w:val="center"/>
          </w:tcPr>
          <w:p w14:paraId="18A0D2FB" w14:textId="77777777" w:rsidR="00724F85" w:rsidRPr="00AD445F" w:rsidRDefault="00000000">
            <w:pPr>
              <w:spacing w:after="0"/>
              <w:rPr>
                <w:rFonts w:ascii="SimSun" w:eastAsia="SimSun" w:hAnsi="SimSun"/>
              </w:rPr>
            </w:pPr>
            <w:r w:rsidRPr="00AD445F">
              <w:rPr>
                <w:rFonts w:ascii="Aptos" w:eastAsia="Aptos" w:hAnsi="Aptos"/>
                <w:b/>
                <w:color w:val="FFFFFF"/>
                <w:sz w:val="13"/>
              </w:rPr>
              <w:t>Potential Impact</w:t>
            </w:r>
          </w:p>
        </w:tc>
        <w:tc>
          <w:tcPr>
            <w:tcW w:w="3636" w:type="dxa"/>
            <w:shd w:val="clear" w:color="auto" w:fill="142033"/>
            <w:tcMar>
              <w:top w:w="85" w:type="dxa"/>
              <w:left w:w="100" w:type="dxa"/>
              <w:bottom w:w="85" w:type="dxa"/>
              <w:right w:w="100" w:type="dxa"/>
            </w:tcMar>
            <w:vAlign w:val="center"/>
          </w:tcPr>
          <w:p w14:paraId="6CCAA23A" w14:textId="77777777" w:rsidR="00724F85" w:rsidRPr="00AD445F" w:rsidRDefault="00000000">
            <w:pPr>
              <w:spacing w:after="0"/>
              <w:rPr>
                <w:rFonts w:ascii="SimSun" w:eastAsia="SimSun" w:hAnsi="SimSun"/>
              </w:rPr>
            </w:pPr>
            <w:r w:rsidRPr="00AD445F">
              <w:rPr>
                <w:rFonts w:ascii="Aptos" w:eastAsia="Aptos" w:hAnsi="Aptos"/>
                <w:b/>
                <w:color w:val="FFFFFF"/>
                <w:sz w:val="13"/>
              </w:rPr>
              <w:t>Mitigation Direction</w:t>
            </w:r>
          </w:p>
        </w:tc>
      </w:tr>
      <w:tr w:rsidR="00724F85" w:rsidRPr="00AD445F" w14:paraId="7A03F549" w14:textId="77777777" w:rsidTr="00050B1D">
        <w:trPr>
          <w:cantSplit/>
          <w:trHeight w:val="216"/>
          <w:jc w:val="center"/>
        </w:trPr>
        <w:tc>
          <w:tcPr>
            <w:tcW w:w="2916" w:type="dxa"/>
            <w:tcMar>
              <w:top w:w="70" w:type="dxa"/>
              <w:left w:w="95" w:type="dxa"/>
              <w:bottom w:w="70" w:type="dxa"/>
              <w:right w:w="95" w:type="dxa"/>
            </w:tcMar>
            <w:vAlign w:val="center"/>
          </w:tcPr>
          <w:p w14:paraId="07F5879A" w14:textId="77777777" w:rsidR="00724F85" w:rsidRPr="00AD445F" w:rsidRDefault="00000000">
            <w:pPr>
              <w:spacing w:after="0" w:line="264" w:lineRule="auto"/>
              <w:rPr>
                <w:rFonts w:ascii="SimSun" w:eastAsia="SimSun" w:hAnsi="SimSun"/>
              </w:rPr>
            </w:pPr>
            <w:r w:rsidRPr="00AD445F">
              <w:rPr>
                <w:rFonts w:ascii="Aptos" w:eastAsia="Aptos" w:hAnsi="Aptos"/>
                <w:sz w:val="13"/>
              </w:rPr>
              <w:t>Proof-scheme defects</w:t>
            </w:r>
          </w:p>
        </w:tc>
        <w:tc>
          <w:tcPr>
            <w:tcW w:w="3046" w:type="dxa"/>
            <w:tcMar>
              <w:top w:w="70" w:type="dxa"/>
              <w:left w:w="95" w:type="dxa"/>
              <w:bottom w:w="70" w:type="dxa"/>
              <w:right w:w="95" w:type="dxa"/>
            </w:tcMar>
            <w:vAlign w:val="center"/>
          </w:tcPr>
          <w:p w14:paraId="715FCD40"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Incorrect settlement; unrecoverable data</w:t>
            </w:r>
          </w:p>
        </w:tc>
        <w:tc>
          <w:tcPr>
            <w:tcW w:w="3636" w:type="dxa"/>
            <w:tcMar>
              <w:top w:w="70" w:type="dxa"/>
              <w:left w:w="95" w:type="dxa"/>
              <w:bottom w:w="70" w:type="dxa"/>
              <w:right w:w="95" w:type="dxa"/>
            </w:tcMar>
            <w:vAlign w:val="center"/>
          </w:tcPr>
          <w:p w14:paraId="0351F3D5"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Formal analysis, independent audits, dual verification, ability to pause releases</w:t>
            </w:r>
          </w:p>
        </w:tc>
      </w:tr>
      <w:tr w:rsidR="00724F85" w:rsidRPr="00AD445F" w14:paraId="2575F40C" w14:textId="77777777" w:rsidTr="00050B1D">
        <w:trPr>
          <w:cantSplit/>
          <w:trHeight w:val="216"/>
          <w:jc w:val="center"/>
        </w:trPr>
        <w:tc>
          <w:tcPr>
            <w:tcW w:w="2916" w:type="dxa"/>
            <w:shd w:val="clear" w:color="auto" w:fill="F3F6F9"/>
            <w:tcMar>
              <w:top w:w="70" w:type="dxa"/>
              <w:left w:w="95" w:type="dxa"/>
              <w:bottom w:w="70" w:type="dxa"/>
              <w:right w:w="95" w:type="dxa"/>
            </w:tcMar>
            <w:vAlign w:val="center"/>
          </w:tcPr>
          <w:p w14:paraId="04E5F998" w14:textId="77777777" w:rsidR="00724F85" w:rsidRPr="00AD445F" w:rsidRDefault="00000000">
            <w:pPr>
              <w:spacing w:after="0" w:line="264" w:lineRule="auto"/>
              <w:rPr>
                <w:rFonts w:ascii="SimSun" w:eastAsia="SimSun" w:hAnsi="SimSun"/>
              </w:rPr>
            </w:pPr>
            <w:r w:rsidRPr="00AD445F">
              <w:rPr>
                <w:rFonts w:ascii="Aptos" w:eastAsia="Aptos" w:hAnsi="Aptos"/>
                <w:sz w:val="13"/>
              </w:rPr>
              <w:t>Correlated node failures</w:t>
            </w:r>
          </w:p>
        </w:tc>
        <w:tc>
          <w:tcPr>
            <w:tcW w:w="3046" w:type="dxa"/>
            <w:shd w:val="clear" w:color="auto" w:fill="F3F6F9"/>
            <w:tcMar>
              <w:top w:w="70" w:type="dxa"/>
              <w:left w:w="95" w:type="dxa"/>
              <w:bottom w:w="70" w:type="dxa"/>
              <w:right w:w="95" w:type="dxa"/>
            </w:tcMar>
            <w:vAlign w:val="center"/>
          </w:tcPr>
          <w:p w14:paraId="05A5013B" w14:textId="77777777" w:rsidR="00724F85" w:rsidRPr="00AD445F" w:rsidRDefault="00000000">
            <w:pPr>
              <w:spacing w:after="0" w:line="264" w:lineRule="auto"/>
              <w:rPr>
                <w:rFonts w:ascii="SimSun" w:eastAsia="SimSun" w:hAnsi="SimSun"/>
              </w:rPr>
            </w:pPr>
            <w:r w:rsidRPr="00AD445F">
              <w:rPr>
                <w:rFonts w:ascii="Aptos" w:eastAsia="Aptos" w:hAnsi="Aptos"/>
                <w:sz w:val="13"/>
              </w:rPr>
              <w:t>Multiple shards fail at the same time</w:t>
            </w:r>
          </w:p>
        </w:tc>
        <w:tc>
          <w:tcPr>
            <w:tcW w:w="3636" w:type="dxa"/>
            <w:shd w:val="clear" w:color="auto" w:fill="F3F6F9"/>
            <w:tcMar>
              <w:top w:w="70" w:type="dxa"/>
              <w:left w:w="95" w:type="dxa"/>
              <w:bottom w:w="70" w:type="dxa"/>
              <w:right w:w="95" w:type="dxa"/>
            </w:tcMar>
            <w:vAlign w:val="center"/>
          </w:tcPr>
          <w:p w14:paraId="262CF313"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Failure-domain caps, staged upgrades, disaster drills, proactive repair</w:t>
            </w:r>
          </w:p>
        </w:tc>
      </w:tr>
      <w:tr w:rsidR="00724F85" w:rsidRPr="00AD445F" w14:paraId="1C20B4C6" w14:textId="77777777" w:rsidTr="00050B1D">
        <w:trPr>
          <w:cantSplit/>
          <w:trHeight w:val="198"/>
          <w:jc w:val="center"/>
        </w:trPr>
        <w:tc>
          <w:tcPr>
            <w:tcW w:w="2916" w:type="dxa"/>
            <w:tcMar>
              <w:top w:w="70" w:type="dxa"/>
              <w:left w:w="95" w:type="dxa"/>
              <w:bottom w:w="70" w:type="dxa"/>
              <w:right w:w="95" w:type="dxa"/>
            </w:tcMar>
            <w:vAlign w:val="center"/>
          </w:tcPr>
          <w:p w14:paraId="39204986" w14:textId="77777777" w:rsidR="00724F85" w:rsidRPr="00AD445F" w:rsidRDefault="00000000">
            <w:pPr>
              <w:spacing w:after="0" w:line="264" w:lineRule="auto"/>
              <w:rPr>
                <w:rFonts w:ascii="SimSun" w:eastAsia="SimSun" w:hAnsi="SimSun"/>
              </w:rPr>
            </w:pPr>
            <w:r w:rsidRPr="00AD445F">
              <w:rPr>
                <w:rFonts w:ascii="Aptos" w:eastAsia="Aptos" w:hAnsi="Aptos"/>
                <w:sz w:val="13"/>
              </w:rPr>
              <w:t>Key loss or compromise</w:t>
            </w:r>
          </w:p>
        </w:tc>
        <w:tc>
          <w:tcPr>
            <w:tcW w:w="3046" w:type="dxa"/>
            <w:tcMar>
              <w:top w:w="70" w:type="dxa"/>
              <w:left w:w="95" w:type="dxa"/>
              <w:bottom w:w="70" w:type="dxa"/>
              <w:right w:w="95" w:type="dxa"/>
            </w:tcMar>
            <w:vAlign w:val="center"/>
          </w:tcPr>
          <w:p w14:paraId="26B1795D"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Permanent unreadability or plaintext exposure</w:t>
            </w:r>
          </w:p>
        </w:tc>
        <w:tc>
          <w:tcPr>
            <w:tcW w:w="3636" w:type="dxa"/>
            <w:tcMar>
              <w:top w:w="70" w:type="dxa"/>
              <w:left w:w="95" w:type="dxa"/>
              <w:bottom w:w="70" w:type="dxa"/>
              <w:right w:w="95" w:type="dxa"/>
            </w:tcMar>
            <w:vAlign w:val="center"/>
          </w:tcPr>
          <w:p w14:paraId="0189BCE8"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Tiered recovery, device revocation, rotation, least privilege</w:t>
            </w:r>
          </w:p>
        </w:tc>
      </w:tr>
      <w:tr w:rsidR="00724F85" w:rsidRPr="00AD445F" w14:paraId="40A76A89" w14:textId="77777777" w:rsidTr="00050B1D">
        <w:trPr>
          <w:cantSplit/>
          <w:trHeight w:val="216"/>
          <w:jc w:val="center"/>
        </w:trPr>
        <w:tc>
          <w:tcPr>
            <w:tcW w:w="2916" w:type="dxa"/>
            <w:shd w:val="clear" w:color="auto" w:fill="F3F6F9"/>
            <w:tcMar>
              <w:top w:w="70" w:type="dxa"/>
              <w:left w:w="95" w:type="dxa"/>
              <w:bottom w:w="70" w:type="dxa"/>
              <w:right w:w="95" w:type="dxa"/>
            </w:tcMar>
            <w:vAlign w:val="center"/>
          </w:tcPr>
          <w:p w14:paraId="2DC3D504" w14:textId="77777777" w:rsidR="00724F85" w:rsidRPr="00AD445F" w:rsidRDefault="00000000">
            <w:pPr>
              <w:spacing w:after="0" w:line="264" w:lineRule="auto"/>
              <w:rPr>
                <w:rFonts w:ascii="SimSun" w:eastAsia="SimSun" w:hAnsi="SimSun"/>
              </w:rPr>
            </w:pPr>
            <w:r w:rsidRPr="00AD445F">
              <w:rPr>
                <w:rFonts w:ascii="Aptos" w:eastAsia="Aptos" w:hAnsi="Aptos"/>
                <w:sz w:val="13"/>
              </w:rPr>
              <w:t>Gateway concentration</w:t>
            </w:r>
          </w:p>
        </w:tc>
        <w:tc>
          <w:tcPr>
            <w:tcW w:w="3046" w:type="dxa"/>
            <w:shd w:val="clear" w:color="auto" w:fill="F3F6F9"/>
            <w:tcMar>
              <w:top w:w="70" w:type="dxa"/>
              <w:left w:w="95" w:type="dxa"/>
              <w:bottom w:w="70" w:type="dxa"/>
              <w:right w:w="95" w:type="dxa"/>
            </w:tcMar>
            <w:vAlign w:val="center"/>
          </w:tcPr>
          <w:p w14:paraId="4CCFCB90"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Censorship, outages, metadata concentration</w:t>
            </w:r>
          </w:p>
        </w:tc>
        <w:tc>
          <w:tcPr>
            <w:tcW w:w="3636" w:type="dxa"/>
            <w:shd w:val="clear" w:color="auto" w:fill="F3F6F9"/>
            <w:tcMar>
              <w:top w:w="70" w:type="dxa"/>
              <w:left w:w="95" w:type="dxa"/>
              <w:bottom w:w="70" w:type="dxa"/>
              <w:right w:w="95" w:type="dxa"/>
            </w:tcMar>
            <w:vAlign w:val="center"/>
          </w:tcPr>
          <w:p w14:paraId="5AC131FC"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Multiple implementations, private deployment, exportable objects and manifests</w:t>
            </w:r>
          </w:p>
        </w:tc>
      </w:tr>
      <w:tr w:rsidR="00724F85" w:rsidRPr="00AD445F" w14:paraId="17F48D22" w14:textId="77777777" w:rsidTr="00050B1D">
        <w:trPr>
          <w:cantSplit/>
          <w:trHeight w:val="216"/>
          <w:jc w:val="center"/>
        </w:trPr>
        <w:tc>
          <w:tcPr>
            <w:tcW w:w="2916" w:type="dxa"/>
            <w:tcMar>
              <w:top w:w="70" w:type="dxa"/>
              <w:left w:w="95" w:type="dxa"/>
              <w:bottom w:w="70" w:type="dxa"/>
              <w:right w:w="95" w:type="dxa"/>
            </w:tcMar>
            <w:vAlign w:val="center"/>
          </w:tcPr>
          <w:p w14:paraId="71AEE960" w14:textId="77777777" w:rsidR="00724F85" w:rsidRPr="00AD445F" w:rsidRDefault="00000000">
            <w:pPr>
              <w:spacing w:after="0" w:line="264" w:lineRule="auto"/>
              <w:rPr>
                <w:rFonts w:ascii="SimSun" w:eastAsia="SimSun" w:hAnsi="SimSun"/>
              </w:rPr>
            </w:pPr>
            <w:r w:rsidRPr="00AD445F">
              <w:rPr>
                <w:rFonts w:ascii="Aptos" w:eastAsia="Aptos" w:hAnsi="Aptos"/>
                <w:sz w:val="13"/>
              </w:rPr>
              <w:t>Token and oracle volatility</w:t>
            </w:r>
          </w:p>
        </w:tc>
        <w:tc>
          <w:tcPr>
            <w:tcW w:w="3046" w:type="dxa"/>
            <w:tcMar>
              <w:top w:w="70" w:type="dxa"/>
              <w:left w:w="95" w:type="dxa"/>
              <w:bottom w:w="70" w:type="dxa"/>
              <w:right w:w="95" w:type="dxa"/>
            </w:tcMar>
            <w:vAlign w:val="center"/>
          </w:tcPr>
          <w:p w14:paraId="5E3BFF62"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Unstable pricing, escrow, and node income</w:t>
            </w:r>
          </w:p>
        </w:tc>
        <w:tc>
          <w:tcPr>
            <w:tcW w:w="3636" w:type="dxa"/>
            <w:tcMar>
              <w:top w:w="70" w:type="dxa"/>
              <w:left w:w="95" w:type="dxa"/>
              <w:bottom w:w="70" w:type="dxa"/>
              <w:right w:w="95" w:type="dxa"/>
            </w:tcMar>
            <w:vAlign w:val="center"/>
          </w:tcPr>
          <w:p w14:paraId="3EC14804"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Stable service pricing, multi-source prices, limits, and circuit breakers</w:t>
            </w:r>
          </w:p>
        </w:tc>
      </w:tr>
      <w:tr w:rsidR="00724F85" w:rsidRPr="00AD445F" w14:paraId="4BA34330" w14:textId="77777777" w:rsidTr="00050B1D">
        <w:trPr>
          <w:cantSplit/>
          <w:trHeight w:val="216"/>
          <w:jc w:val="center"/>
        </w:trPr>
        <w:tc>
          <w:tcPr>
            <w:tcW w:w="2916" w:type="dxa"/>
            <w:shd w:val="clear" w:color="auto" w:fill="F3F6F9"/>
            <w:tcMar>
              <w:top w:w="70" w:type="dxa"/>
              <w:left w:w="95" w:type="dxa"/>
              <w:bottom w:w="70" w:type="dxa"/>
              <w:right w:w="95" w:type="dxa"/>
            </w:tcMar>
            <w:vAlign w:val="center"/>
          </w:tcPr>
          <w:p w14:paraId="1BD7165D" w14:textId="77777777" w:rsidR="00724F85" w:rsidRPr="00AD445F" w:rsidRDefault="00000000">
            <w:pPr>
              <w:spacing w:after="0" w:line="264" w:lineRule="auto"/>
              <w:rPr>
                <w:rFonts w:ascii="SimSun" w:eastAsia="SimSun" w:hAnsi="SimSun"/>
              </w:rPr>
            </w:pPr>
            <w:r w:rsidRPr="00AD445F">
              <w:rPr>
                <w:rFonts w:ascii="Aptos" w:eastAsia="Aptos" w:hAnsi="Aptos"/>
                <w:sz w:val="13"/>
              </w:rPr>
              <w:t>Subsidy farming</w:t>
            </w:r>
          </w:p>
        </w:tc>
        <w:tc>
          <w:tcPr>
            <w:tcW w:w="3046" w:type="dxa"/>
            <w:shd w:val="clear" w:color="auto" w:fill="F3F6F9"/>
            <w:tcMar>
              <w:top w:w="70" w:type="dxa"/>
              <w:left w:w="95" w:type="dxa"/>
              <w:bottom w:w="70" w:type="dxa"/>
              <w:right w:w="95" w:type="dxa"/>
            </w:tcMar>
            <w:vAlign w:val="center"/>
          </w:tcPr>
          <w:p w14:paraId="2581AC6D" w14:textId="77777777" w:rsidR="00724F85" w:rsidRPr="00AD445F" w:rsidRDefault="00000000">
            <w:pPr>
              <w:spacing w:after="0" w:line="264" w:lineRule="auto"/>
              <w:rPr>
                <w:rFonts w:ascii="SimSun" w:eastAsia="SimSun" w:hAnsi="SimSun"/>
              </w:rPr>
            </w:pPr>
            <w:r w:rsidRPr="00AD445F">
              <w:rPr>
                <w:rFonts w:ascii="Aptos" w:eastAsia="Aptos" w:hAnsi="Aptos"/>
                <w:sz w:val="13"/>
              </w:rPr>
              <w:t>Fake demand and Treasury depletion</w:t>
            </w:r>
          </w:p>
        </w:tc>
        <w:tc>
          <w:tcPr>
            <w:tcW w:w="3636" w:type="dxa"/>
            <w:shd w:val="clear" w:color="auto" w:fill="F3F6F9"/>
            <w:tcMar>
              <w:top w:w="70" w:type="dxa"/>
              <w:left w:w="95" w:type="dxa"/>
              <w:bottom w:w="70" w:type="dxa"/>
              <w:right w:w="95" w:type="dxa"/>
            </w:tcMar>
            <w:vAlign w:val="center"/>
          </w:tcPr>
          <w:p w14:paraId="7AC0A5BD"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Correlation detection, caps, real payment, anti-Sybil controls</w:t>
            </w:r>
          </w:p>
        </w:tc>
      </w:tr>
      <w:tr w:rsidR="00724F85" w:rsidRPr="00AD445F" w14:paraId="77650ECD" w14:textId="77777777" w:rsidTr="00050B1D">
        <w:trPr>
          <w:cantSplit/>
          <w:trHeight w:val="216"/>
          <w:jc w:val="center"/>
        </w:trPr>
        <w:tc>
          <w:tcPr>
            <w:tcW w:w="2916" w:type="dxa"/>
            <w:tcMar>
              <w:top w:w="70" w:type="dxa"/>
              <w:left w:w="95" w:type="dxa"/>
              <w:bottom w:w="70" w:type="dxa"/>
              <w:right w:w="95" w:type="dxa"/>
            </w:tcMar>
            <w:vAlign w:val="center"/>
          </w:tcPr>
          <w:p w14:paraId="5155681F" w14:textId="77777777" w:rsidR="00724F85" w:rsidRPr="00AD445F" w:rsidRDefault="00000000">
            <w:pPr>
              <w:spacing w:after="0" w:line="264" w:lineRule="auto"/>
              <w:rPr>
                <w:rFonts w:ascii="SimSun" w:eastAsia="SimSun" w:hAnsi="SimSun"/>
              </w:rPr>
            </w:pPr>
            <w:r w:rsidRPr="00AD445F">
              <w:rPr>
                <w:rFonts w:ascii="Aptos" w:eastAsia="Aptos" w:hAnsi="Aptos"/>
                <w:sz w:val="13"/>
              </w:rPr>
              <w:t>Regulatory change</w:t>
            </w:r>
          </w:p>
        </w:tc>
        <w:tc>
          <w:tcPr>
            <w:tcW w:w="3046" w:type="dxa"/>
            <w:tcMar>
              <w:top w:w="70" w:type="dxa"/>
              <w:left w:w="95" w:type="dxa"/>
              <w:bottom w:w="70" w:type="dxa"/>
              <w:right w:w="95" w:type="dxa"/>
            </w:tcMar>
            <w:vAlign w:val="center"/>
          </w:tcPr>
          <w:p w14:paraId="54884560" w14:textId="77777777" w:rsidR="00724F85" w:rsidRPr="00AD445F" w:rsidRDefault="00000000">
            <w:pPr>
              <w:spacing w:after="0" w:line="264" w:lineRule="auto"/>
              <w:rPr>
                <w:rFonts w:ascii="SimSun" w:eastAsia="SimSun" w:hAnsi="SimSun"/>
              </w:rPr>
            </w:pPr>
            <w:r w:rsidRPr="00AD445F">
              <w:rPr>
                <w:rFonts w:ascii="Aptos" w:eastAsia="Aptos" w:hAnsi="Aptos"/>
                <w:sz w:val="13"/>
              </w:rPr>
              <w:t>Restricted markets or functions</w:t>
            </w:r>
          </w:p>
        </w:tc>
        <w:tc>
          <w:tcPr>
            <w:tcW w:w="3636" w:type="dxa"/>
            <w:tcMar>
              <w:top w:w="70" w:type="dxa"/>
              <w:left w:w="95" w:type="dxa"/>
              <w:bottom w:w="70" w:type="dxa"/>
              <w:right w:w="95" w:type="dxa"/>
            </w:tcMar>
            <w:vAlign w:val="center"/>
          </w:tcPr>
          <w:p w14:paraId="0ADA6518"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Market-by-market assessment, clear roles, features that can be disabled</w:t>
            </w:r>
          </w:p>
        </w:tc>
      </w:tr>
      <w:tr w:rsidR="00724F85" w:rsidRPr="00AD445F" w14:paraId="2ED51FFF" w14:textId="77777777" w:rsidTr="00050B1D">
        <w:trPr>
          <w:cantSplit/>
          <w:trHeight w:val="216"/>
          <w:jc w:val="center"/>
        </w:trPr>
        <w:tc>
          <w:tcPr>
            <w:tcW w:w="2916" w:type="dxa"/>
            <w:shd w:val="clear" w:color="auto" w:fill="F3F6F9"/>
            <w:tcMar>
              <w:top w:w="70" w:type="dxa"/>
              <w:left w:w="95" w:type="dxa"/>
              <w:bottom w:w="70" w:type="dxa"/>
              <w:right w:w="95" w:type="dxa"/>
            </w:tcMar>
            <w:vAlign w:val="center"/>
          </w:tcPr>
          <w:p w14:paraId="7AF5BA71" w14:textId="77777777" w:rsidR="00724F85" w:rsidRPr="00AD445F" w:rsidRDefault="00000000">
            <w:pPr>
              <w:spacing w:after="0" w:line="264" w:lineRule="auto"/>
              <w:rPr>
                <w:rFonts w:ascii="SimSun" w:eastAsia="SimSun" w:hAnsi="SimSun"/>
              </w:rPr>
            </w:pPr>
            <w:r w:rsidRPr="00AD445F">
              <w:rPr>
                <w:rFonts w:ascii="Aptos" w:eastAsia="Aptos" w:hAnsi="Aptos"/>
                <w:sz w:val="13"/>
              </w:rPr>
              <w:t>Malicious content</w:t>
            </w:r>
          </w:p>
        </w:tc>
        <w:tc>
          <w:tcPr>
            <w:tcW w:w="3046" w:type="dxa"/>
            <w:shd w:val="clear" w:color="auto" w:fill="F3F6F9"/>
            <w:tcMar>
              <w:top w:w="70" w:type="dxa"/>
              <w:left w:w="95" w:type="dxa"/>
              <w:bottom w:w="70" w:type="dxa"/>
              <w:right w:w="95" w:type="dxa"/>
            </w:tcMar>
            <w:vAlign w:val="center"/>
          </w:tcPr>
          <w:p w14:paraId="3FFE7783"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Risk to nodes, Gateways, and brand</w:t>
            </w:r>
          </w:p>
        </w:tc>
        <w:tc>
          <w:tcPr>
            <w:tcW w:w="3636" w:type="dxa"/>
            <w:shd w:val="clear" w:color="auto" w:fill="F3F6F9"/>
            <w:tcMar>
              <w:top w:w="70" w:type="dxa"/>
              <w:left w:w="95" w:type="dxa"/>
              <w:bottom w:w="70" w:type="dxa"/>
              <w:right w:w="95" w:type="dxa"/>
            </w:tcMar>
            <w:vAlign w:val="center"/>
          </w:tcPr>
          <w:p w14:paraId="203BBD2D"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Terms, object-level refusal, lawful requests, transparency reporting</w:t>
            </w:r>
          </w:p>
        </w:tc>
      </w:tr>
      <w:tr w:rsidR="00724F85" w:rsidRPr="00AD445F" w14:paraId="6F54266B" w14:textId="77777777" w:rsidTr="00050B1D">
        <w:trPr>
          <w:cantSplit/>
          <w:trHeight w:val="216"/>
          <w:jc w:val="center"/>
        </w:trPr>
        <w:tc>
          <w:tcPr>
            <w:tcW w:w="2916" w:type="dxa"/>
            <w:tcMar>
              <w:top w:w="70" w:type="dxa"/>
              <w:left w:w="95" w:type="dxa"/>
              <w:bottom w:w="70" w:type="dxa"/>
              <w:right w:w="95" w:type="dxa"/>
            </w:tcMar>
            <w:vAlign w:val="center"/>
          </w:tcPr>
          <w:p w14:paraId="41393967" w14:textId="77777777" w:rsidR="00724F85" w:rsidRPr="00AD445F" w:rsidRDefault="00000000">
            <w:pPr>
              <w:spacing w:after="0" w:line="264" w:lineRule="auto"/>
              <w:rPr>
                <w:rFonts w:ascii="SimSun" w:eastAsia="SimSun" w:hAnsi="SimSun"/>
              </w:rPr>
            </w:pPr>
            <w:r w:rsidRPr="00AD445F">
              <w:rPr>
                <w:rFonts w:ascii="Aptos" w:eastAsia="Aptos" w:hAnsi="Aptos"/>
                <w:sz w:val="13"/>
              </w:rPr>
              <w:t>Governance capture</w:t>
            </w:r>
          </w:p>
        </w:tc>
        <w:tc>
          <w:tcPr>
            <w:tcW w:w="3046" w:type="dxa"/>
            <w:tcMar>
              <w:top w:w="70" w:type="dxa"/>
              <w:left w:w="95" w:type="dxa"/>
              <w:bottom w:w="70" w:type="dxa"/>
              <w:right w:w="95" w:type="dxa"/>
            </w:tcMar>
            <w:vAlign w:val="center"/>
          </w:tcPr>
          <w:p w14:paraId="4B5BEDFF"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Parameters and funds controlled by a minority</w:t>
            </w:r>
          </w:p>
        </w:tc>
        <w:tc>
          <w:tcPr>
            <w:tcW w:w="3636" w:type="dxa"/>
            <w:tcMar>
              <w:top w:w="70" w:type="dxa"/>
              <w:left w:w="95" w:type="dxa"/>
              <w:bottom w:w="70" w:type="dxa"/>
              <w:right w:w="95" w:type="dxa"/>
            </w:tcMar>
            <w:vAlign w:val="center"/>
          </w:tcPr>
          <w:p w14:paraId="20C637B7" w14:textId="77777777" w:rsidR="00724F85" w:rsidRPr="00AD445F" w:rsidRDefault="00000000">
            <w:pPr>
              <w:spacing w:after="0" w:line="264" w:lineRule="auto"/>
              <w:rPr>
                <w:rFonts w:ascii="SimSun" w:eastAsia="SimSun" w:hAnsi="SimSun"/>
                <w:lang w:eastAsia="zh-CN"/>
              </w:rPr>
            </w:pPr>
            <w:r w:rsidRPr="00AD445F">
              <w:rPr>
                <w:rFonts w:ascii="Aptos" w:eastAsia="Aptos" w:hAnsi="Aptos"/>
                <w:sz w:val="13"/>
                <w:lang w:eastAsia="zh-CN"/>
              </w:rPr>
              <w:t>Layered thresholds, timelocks, delegate disclosure, independent oversight</w:t>
            </w:r>
          </w:p>
        </w:tc>
      </w:tr>
      <w:tr w:rsidR="00724F85" w:rsidRPr="00AD445F" w14:paraId="105E0511" w14:textId="77777777" w:rsidTr="00050B1D">
        <w:trPr>
          <w:cantSplit/>
          <w:trHeight w:val="216"/>
          <w:jc w:val="center"/>
        </w:trPr>
        <w:tc>
          <w:tcPr>
            <w:tcW w:w="2916" w:type="dxa"/>
            <w:shd w:val="clear" w:color="auto" w:fill="F3F6F9"/>
            <w:tcMar>
              <w:top w:w="70" w:type="dxa"/>
              <w:left w:w="95" w:type="dxa"/>
              <w:bottom w:w="70" w:type="dxa"/>
              <w:right w:w="95" w:type="dxa"/>
            </w:tcMar>
            <w:vAlign w:val="center"/>
          </w:tcPr>
          <w:p w14:paraId="0A52C6E4" w14:textId="77777777" w:rsidR="00BB733D" w:rsidRDefault="00000000">
            <w:r>
              <w:rPr>
                <w:rFonts w:ascii="Aptos" w:hAnsi="Aptos"/>
              </w:rPr>
              <w:t>Competition / insufficient demand</w:t>
            </w:r>
          </w:p>
        </w:tc>
        <w:tc>
          <w:tcPr>
            <w:tcW w:w="3046" w:type="dxa"/>
            <w:shd w:val="clear" w:color="auto" w:fill="F3F6F9"/>
            <w:tcMar>
              <w:top w:w="70" w:type="dxa"/>
              <w:left w:w="95" w:type="dxa"/>
              <w:bottom w:w="70" w:type="dxa"/>
              <w:right w:w="95" w:type="dxa"/>
            </w:tcMar>
            <w:vAlign w:val="center"/>
          </w:tcPr>
          <w:p w14:paraId="24A4E196" w14:textId="77777777" w:rsidR="00BB733D" w:rsidRDefault="00000000">
            <w:r>
              <w:rPr>
                <w:rFonts w:ascii="Aptos" w:hAnsi="Aptos"/>
              </w:rPr>
              <w:t>Product lacks a cost or experience advantage</w:t>
            </w:r>
          </w:p>
        </w:tc>
        <w:tc>
          <w:tcPr>
            <w:tcW w:w="3636" w:type="dxa"/>
            <w:shd w:val="clear" w:color="auto" w:fill="F3F6F9"/>
            <w:tcMar>
              <w:top w:w="70" w:type="dxa"/>
              <w:left w:w="95" w:type="dxa"/>
              <w:bottom w:w="70" w:type="dxa"/>
              <w:right w:w="95" w:type="dxa"/>
            </w:tcMar>
            <w:vAlign w:val="center"/>
          </w:tcPr>
          <w:p w14:paraId="646EF947" w14:textId="77777777" w:rsidR="00BB733D" w:rsidRDefault="00000000">
            <w:r>
              <w:rPr>
                <w:rFonts w:ascii="Aptos" w:hAnsi="Aptos"/>
              </w:rPr>
              <w:t>Focus on the wedge, remain compatible with existing networks, and narrow scope based on pilot evidence</w:t>
            </w:r>
          </w:p>
        </w:tc>
      </w:tr>
    </w:tbl>
    <w:p w14:paraId="01F522B7" w14:textId="77777777" w:rsidR="00724F85" w:rsidRPr="00AD445F" w:rsidRDefault="00724F85">
      <w:pPr>
        <w:pStyle w:val="WPSmall"/>
        <w:spacing w:after="0"/>
        <w:rPr>
          <w:rFonts w:ascii="SimSun" w:eastAsia="SimSun" w:hAnsi="SimSun"/>
          <w:lang w:eastAsia="zh-CN"/>
        </w:rPr>
      </w:pPr>
    </w:p>
    <w:p w14:paraId="3441692C" w14:textId="77777777" w:rsidR="00724F85" w:rsidRPr="00AD445F" w:rsidRDefault="00000000">
      <w:pPr>
        <w:pStyle w:val="WPH2"/>
        <w:keepNext/>
        <w:rPr>
          <w:rFonts w:ascii="SimSun" w:eastAsia="SimSun" w:hAnsi="SimSun"/>
          <w:lang w:eastAsia="zh-CN"/>
        </w:rPr>
      </w:pPr>
      <w:r w:rsidRPr="00AD445F">
        <w:rPr>
          <w:rFonts w:ascii="Aptos" w:eastAsia="Aptos" w:hAnsi="Aptos"/>
          <w:lang w:eastAsia="zh-CN"/>
        </w:rPr>
        <w:t>Conclusion</w:t>
      </w:r>
    </w:p>
    <w:p w14:paraId="4C6C9AA6"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SOVRA’s long-term value depends on three questions: whether users truly control keys, authorization, and migration; whether the network can continuously prove that data is recoverable and deliver it when needed; and whether real fees can progressively replace issuance subsidies. SOVR should serve those three functions rather than become the network’s only reason to exist.</w:t>
      </w:r>
    </w:p>
    <w:p w14:paraId="7D759EBA" w14:textId="77777777" w:rsidR="00724F85" w:rsidRPr="00AD445F" w:rsidRDefault="00000000">
      <w:pPr>
        <w:pStyle w:val="WPBody"/>
        <w:rPr>
          <w:rFonts w:ascii="SimSun" w:eastAsia="SimSun" w:hAnsi="SimSun"/>
          <w:lang w:eastAsia="zh-CN"/>
        </w:rPr>
      </w:pPr>
      <w:r w:rsidRPr="00AD445F">
        <w:rPr>
          <w:rFonts w:ascii="Aptos" w:eastAsia="Aptos" w:hAnsi="Aptos"/>
          <w:lang w:eastAsia="zh-CN"/>
        </w:rPr>
        <w:t>If SOVRA can combine secure defaults, verifiable storage, regional hot reads, open nodes, and developer experience into a genuinely usable product, it may become more than another decentralized-storage protocol: it could become sovereign data infrastructure connecting individuals, Agents, applications, and organizations.</w:t>
      </w:r>
    </w:p>
    <w:p w14:paraId="24575044" w14:textId="77777777" w:rsidR="00724F85" w:rsidRPr="00AD445F" w:rsidRDefault="00000000">
      <w:pPr>
        <w:rPr>
          <w:rFonts w:ascii="SimSun" w:eastAsia="SimSun" w:hAnsi="SimSun"/>
          <w:lang w:eastAsia="zh-CN"/>
        </w:rPr>
      </w:pPr>
      <w:r w:rsidRPr="00AD445F">
        <w:rPr>
          <w:rFonts w:ascii="Aptos" w:eastAsia="Aptos" w:hAnsi="Aptos"/>
          <w:lang w:eastAsia="zh-CN"/>
        </w:rPr>
        <w:br w:type="page"/>
      </w:r>
    </w:p>
    <w:p w14:paraId="44AEFC92" w14:textId="77777777" w:rsidR="00724F85" w:rsidRPr="00AD445F" w:rsidRDefault="00000000">
      <w:pPr>
        <w:pStyle w:val="WPKicker"/>
        <w:keepNext/>
        <w:rPr>
          <w:rFonts w:ascii="SimSun" w:eastAsia="SimSun" w:hAnsi="SimSun"/>
          <w:sz w:val="40"/>
          <w:szCs w:val="40"/>
          <w:lang w:eastAsia="zh-CN"/>
        </w:rPr>
      </w:pPr>
      <w:r w:rsidRPr="00AD445F">
        <w:rPr>
          <w:rFonts w:ascii="Aptos" w:eastAsia="Aptos" w:hAnsi="Aptos"/>
          <w:sz w:val="40"/>
          <w:szCs w:val="40"/>
          <w:lang w:eastAsia="zh-CN"/>
        </w:rPr>
        <w:lastRenderedPageBreak/>
        <w:t>APPENDIX A · REFERENCES</w:t>
      </w:r>
    </w:p>
    <w:p w14:paraId="081C4BE7" w14:textId="77777777" w:rsidR="00724F85" w:rsidRPr="00AD445F" w:rsidRDefault="00000000">
      <w:pPr>
        <w:pStyle w:val="WPPageTitle"/>
        <w:keepNext/>
        <w:pBdr>
          <w:bottom w:val="single" w:sz="12" w:space="5" w:color="0F766E"/>
        </w:pBdr>
        <w:rPr>
          <w:rFonts w:ascii="SimSun" w:eastAsia="SimSun" w:hAnsi="SimSun"/>
          <w:lang w:eastAsia="zh-CN"/>
        </w:rPr>
      </w:pPr>
      <w:r w:rsidRPr="00AD445F">
        <w:rPr>
          <w:rFonts w:ascii="Aptos" w:eastAsia="Aptos" w:hAnsi="Aptos"/>
          <w:lang w:eastAsia="zh-CN"/>
        </w:rPr>
        <w:t>A.1  Standards, Protocol Documents, and Further Reading</w:t>
      </w:r>
    </w:p>
    <w:p w14:paraId="40988EBF" w14:textId="77777777" w:rsidR="00724F85" w:rsidRPr="00AD445F" w:rsidRDefault="00000000">
      <w:pPr>
        <w:pStyle w:val="WPDeck"/>
        <w:keepNext/>
        <w:rPr>
          <w:rFonts w:ascii="SimSun" w:eastAsia="SimSun" w:hAnsi="SimSun"/>
          <w:lang w:eastAsia="zh-CN"/>
        </w:rPr>
      </w:pPr>
      <w:r w:rsidRPr="00AD445F">
        <w:rPr>
          <w:rFonts w:ascii="Aptos" w:eastAsia="Aptos" w:hAnsi="Aptos"/>
          <w:lang w:eastAsia="zh-CN"/>
        </w:rPr>
        <w:t>References are provided to explain the design background and do not imply endorsement of SOVRA by the cited organizations. Competitor capabilities should be checked against their latest official documentation.</w:t>
      </w:r>
    </w:p>
    <w:p w14:paraId="37A90736" w14:textId="77777777" w:rsidR="00724F85" w:rsidRPr="00AD445F" w:rsidRDefault="00000000">
      <w:pPr>
        <w:pStyle w:val="WPReference"/>
        <w:rPr>
          <w:rFonts w:ascii="SimSun" w:eastAsia="SimSun" w:hAnsi="SimSun"/>
        </w:rPr>
      </w:pPr>
      <w:r w:rsidRPr="00AD445F">
        <w:rPr>
          <w:rFonts w:ascii="Aptos" w:eastAsia="Aptos" w:hAnsi="Aptos"/>
          <w:b/>
        </w:rPr>
        <w:t>[R1]  Solana Documentation — Core Concepts  https://solana.com/docs/core</w:t>
      </w:r>
      <w:hyperlink r:id="rId14">
        <w:r w:rsidR="00724F85" w:rsidRPr="00AD445F">
          <w:rPr>
            <w:rFonts w:ascii="SimSun" w:eastAsia="SimSun" w:hAnsi="SimSun"/>
            <w:color w:val="2563EB"/>
            <w:u w:val="single"/>
          </w:rPr>
          <w:t>https://solana.com/docs/core</w:t>
        </w:r>
      </w:hyperlink>
    </w:p>
    <w:p w14:paraId="6A866394" w14:textId="77777777" w:rsidR="00724F85" w:rsidRPr="00AD445F" w:rsidRDefault="00000000">
      <w:pPr>
        <w:pStyle w:val="WPReference"/>
        <w:rPr>
          <w:rFonts w:ascii="SimSun" w:eastAsia="SimSun" w:hAnsi="SimSun"/>
        </w:rPr>
      </w:pPr>
      <w:r w:rsidRPr="00AD445F">
        <w:rPr>
          <w:rFonts w:ascii="Aptos" w:eastAsia="Aptos" w:hAnsi="Aptos"/>
        </w:rPr>
        <w:t>[R2]  Solana Documentation — Fees and Compute Budget  https://solana.com/docs/core/fees</w:t>
      </w:r>
      <w:hyperlink r:id="rId15">
        <w:r w:rsidR="00724F85" w:rsidRPr="00AD445F">
          <w:rPr>
            <w:rFonts w:ascii="SimSun" w:eastAsia="SimSun" w:hAnsi="SimSun"/>
            <w:color w:val="2563EB"/>
            <w:u w:val="single"/>
          </w:rPr>
          <w:t>https://solana.com/docs/core/fees</w:t>
        </w:r>
      </w:hyperlink>
    </w:p>
    <w:p w14:paraId="40A7111D" w14:textId="77777777" w:rsidR="00724F85" w:rsidRPr="00AD445F" w:rsidRDefault="00000000">
      <w:pPr>
        <w:pStyle w:val="WPReference"/>
        <w:rPr>
          <w:rFonts w:ascii="SimSun" w:eastAsia="SimSun" w:hAnsi="SimSun"/>
        </w:rPr>
      </w:pPr>
      <w:r w:rsidRPr="00AD445F">
        <w:rPr>
          <w:rFonts w:ascii="Aptos" w:eastAsia="Aptos" w:hAnsi="Aptos"/>
          <w:b/>
        </w:rPr>
        <w:t>[R3]  IPFS Documentation — Content Identifiers (CID)  https://docs.ipfs.tech/concepts/content-addressing/</w:t>
      </w:r>
      <w:hyperlink r:id="rId16">
        <w:r w:rsidR="00724F85" w:rsidRPr="00AD445F">
          <w:rPr>
            <w:rFonts w:ascii="SimSun" w:eastAsia="SimSun" w:hAnsi="SimSun"/>
            <w:color w:val="2563EB"/>
            <w:u w:val="single"/>
          </w:rPr>
          <w:t>https://docs.ipfs.tech/concepts/content-addressing/</w:t>
        </w:r>
      </w:hyperlink>
    </w:p>
    <w:p w14:paraId="64485209" w14:textId="77777777" w:rsidR="00724F85" w:rsidRPr="00AD445F" w:rsidRDefault="00000000">
      <w:pPr>
        <w:pStyle w:val="WPReference"/>
        <w:rPr>
          <w:rFonts w:ascii="SimSun" w:eastAsia="SimSun" w:hAnsi="SimSun"/>
        </w:rPr>
      </w:pPr>
      <w:r w:rsidRPr="00AD445F">
        <w:rPr>
          <w:rFonts w:ascii="Aptos" w:eastAsia="Aptos" w:hAnsi="Aptos"/>
        </w:rPr>
        <w:t>[R4]  IPFS Documentation — Privacy and Encryption  https://docs.ipfs.tech/concepts/privacy-and-encryption/</w:t>
      </w:r>
      <w:hyperlink r:id="rId17">
        <w:r w:rsidR="00724F85" w:rsidRPr="00AD445F">
          <w:rPr>
            <w:rFonts w:ascii="SimSun" w:eastAsia="SimSun" w:hAnsi="SimSun"/>
            <w:color w:val="2563EB"/>
            <w:u w:val="single"/>
          </w:rPr>
          <w:t>https://docs.ipfs.tech/concepts/privacy-and-encryption/</w:t>
        </w:r>
      </w:hyperlink>
    </w:p>
    <w:p w14:paraId="45800E91" w14:textId="77777777" w:rsidR="00724F85" w:rsidRPr="00AD445F" w:rsidRDefault="00000000">
      <w:pPr>
        <w:pStyle w:val="WPReference"/>
        <w:rPr>
          <w:rFonts w:ascii="SimSun" w:eastAsia="SimSun" w:hAnsi="SimSun"/>
        </w:rPr>
      </w:pPr>
      <w:r w:rsidRPr="00AD445F">
        <w:rPr>
          <w:rFonts w:ascii="Aptos" w:eastAsia="Aptos" w:hAnsi="Aptos"/>
        </w:rPr>
        <w:t>[R5]  Filecoin Specification — Proof of Replication / Proof of Spacetime  https://spec.filecoin.io/algorithms/pos/porep/</w:t>
      </w:r>
      <w:hyperlink r:id="rId18">
        <w:r w:rsidR="00724F85" w:rsidRPr="00AD445F">
          <w:rPr>
            <w:rFonts w:ascii="SimSun" w:eastAsia="SimSun" w:hAnsi="SimSun"/>
            <w:color w:val="2563EB"/>
            <w:u w:val="single"/>
          </w:rPr>
          <w:t>https://spec.filecoin.io/algorithms/pos/porep/</w:t>
        </w:r>
      </w:hyperlink>
    </w:p>
    <w:p w14:paraId="5CBBAEB6" w14:textId="77777777" w:rsidR="00724F85" w:rsidRPr="00AD445F" w:rsidRDefault="00000000">
      <w:pPr>
        <w:pStyle w:val="WPReference"/>
        <w:rPr>
          <w:rFonts w:ascii="SimSun" w:eastAsia="SimSun" w:hAnsi="SimSun"/>
        </w:rPr>
      </w:pPr>
      <w:r w:rsidRPr="00AD445F">
        <w:rPr>
          <w:rFonts w:ascii="Aptos" w:eastAsia="Aptos" w:hAnsi="Aptos"/>
        </w:rPr>
        <w:t>[R6]  Storj Documentation — Architecture, Client-Side Encryption, and Erasure Coding  https://storj.dev/learn</w:t>
      </w:r>
      <w:hyperlink r:id="rId19">
        <w:r w:rsidR="00724F85" w:rsidRPr="00AD445F">
          <w:rPr>
            <w:rFonts w:ascii="SimSun" w:eastAsia="SimSun" w:hAnsi="SimSun"/>
            <w:color w:val="2563EB"/>
            <w:u w:val="single"/>
          </w:rPr>
          <w:t>https://storj.dev/learn</w:t>
        </w:r>
      </w:hyperlink>
    </w:p>
    <w:p w14:paraId="272A5462" w14:textId="77777777" w:rsidR="00724F85" w:rsidRPr="00AD445F" w:rsidRDefault="00000000">
      <w:pPr>
        <w:pStyle w:val="WPReference"/>
        <w:rPr>
          <w:rFonts w:ascii="SimSun" w:eastAsia="SimSun" w:hAnsi="SimSun"/>
        </w:rPr>
      </w:pPr>
      <w:r w:rsidRPr="00AD445F">
        <w:rPr>
          <w:rFonts w:ascii="Aptos" w:eastAsia="Aptos" w:hAnsi="Aptos"/>
        </w:rPr>
        <w:t>[R7]  Walrus Documentation — Foundations and System Overview  https://docs.wal.app/docs/system-overview/core-concepts</w:t>
      </w:r>
      <w:hyperlink r:id="rId20">
        <w:r w:rsidR="00724F85" w:rsidRPr="00AD445F">
          <w:rPr>
            <w:rFonts w:ascii="SimSun" w:eastAsia="SimSun" w:hAnsi="SimSun"/>
            <w:color w:val="2563EB"/>
            <w:u w:val="single"/>
          </w:rPr>
          <w:t>https://docs.wal.app/docs/system-overview/core-concepts</w:t>
        </w:r>
      </w:hyperlink>
    </w:p>
    <w:p w14:paraId="1DF40C65" w14:textId="77777777" w:rsidR="00724F85" w:rsidRPr="00AD445F" w:rsidRDefault="00000000">
      <w:pPr>
        <w:pStyle w:val="WPReference"/>
        <w:rPr>
          <w:rFonts w:ascii="SimSun" w:eastAsia="SimSun" w:hAnsi="SimSun"/>
        </w:rPr>
      </w:pPr>
      <w:r w:rsidRPr="00AD445F">
        <w:rPr>
          <w:rFonts w:ascii="Aptos" w:eastAsia="Aptos" w:hAnsi="Aptos"/>
        </w:rPr>
        <w:t>[R8]  Arweave Protocol Components / Yellow Paper  https://github.com/ArweaveTeam/docs.arweave.org-info/blob/master/development/protocol/overview.md</w:t>
      </w:r>
      <w:hyperlink r:id="rId21">
        <w:r w:rsidR="00724F85" w:rsidRPr="00AD445F">
          <w:rPr>
            <w:rFonts w:ascii="SimSun" w:eastAsia="SimSun" w:hAnsi="SimSun"/>
            <w:color w:val="2563EB"/>
            <w:u w:val="single"/>
          </w:rPr>
          <w:t>https://github.com/ArweaveTeam/docs.arweave.org-info/blob/master/development/protocol/overview.md</w:t>
        </w:r>
      </w:hyperlink>
    </w:p>
    <w:p w14:paraId="368C3B89" w14:textId="77777777" w:rsidR="00724F85" w:rsidRPr="00AD445F" w:rsidRDefault="00000000">
      <w:pPr>
        <w:pStyle w:val="WPReference"/>
        <w:rPr>
          <w:rFonts w:ascii="SimSun" w:eastAsia="SimSun" w:hAnsi="SimSun"/>
        </w:rPr>
      </w:pPr>
      <w:r w:rsidRPr="00AD445F">
        <w:rPr>
          <w:rFonts w:ascii="Aptos" w:eastAsia="Aptos" w:hAnsi="Aptos"/>
        </w:rPr>
        <w:t>[R9]  Sia Documentation — File Contracts and Renting  https://sia.tech/learn/file-contracts</w:t>
      </w:r>
      <w:hyperlink r:id="rId22">
        <w:r w:rsidR="00724F85" w:rsidRPr="00AD445F">
          <w:rPr>
            <w:rFonts w:ascii="SimSun" w:eastAsia="SimSun" w:hAnsi="SimSun"/>
            <w:color w:val="2563EB"/>
            <w:u w:val="single"/>
          </w:rPr>
          <w:t>https://sia.tech/learn/file-contracts</w:t>
        </w:r>
      </w:hyperlink>
    </w:p>
    <w:p w14:paraId="3CD4BD21" w14:textId="77777777" w:rsidR="00724F85" w:rsidRPr="00AD445F" w:rsidRDefault="00000000">
      <w:pPr>
        <w:pStyle w:val="WPReference"/>
        <w:rPr>
          <w:rFonts w:ascii="SimSun" w:eastAsia="SimSun" w:hAnsi="SimSun"/>
        </w:rPr>
      </w:pPr>
      <w:r w:rsidRPr="00AD445F">
        <w:rPr>
          <w:rFonts w:ascii="Aptos" w:eastAsia="Aptos" w:hAnsi="Aptos"/>
          <w:b/>
        </w:rPr>
        <w:t>[R10]  NIST SP 800-38D — GCM and GMAC  https://csrc.nist.gov/pubs/sp/800/38/d/final</w:t>
      </w:r>
      <w:hyperlink r:id="rId23">
        <w:r w:rsidR="00724F85" w:rsidRPr="00AD445F">
          <w:rPr>
            <w:rFonts w:ascii="SimSun" w:eastAsia="SimSun" w:hAnsi="SimSun"/>
            <w:color w:val="2563EB"/>
            <w:u w:val="single"/>
          </w:rPr>
          <w:t>https://csrc.nist.gov/pubs/sp/800/38/d/final</w:t>
        </w:r>
      </w:hyperlink>
    </w:p>
    <w:p w14:paraId="486863F8" w14:textId="77777777" w:rsidR="00724F85" w:rsidRPr="00AD445F" w:rsidRDefault="00000000">
      <w:pPr>
        <w:pStyle w:val="WPReference"/>
        <w:rPr>
          <w:rFonts w:ascii="SimSun" w:eastAsia="SimSun" w:hAnsi="SimSun"/>
        </w:rPr>
      </w:pPr>
      <w:r w:rsidRPr="00AD445F">
        <w:rPr>
          <w:rFonts w:ascii="Aptos" w:eastAsia="Aptos" w:hAnsi="Aptos"/>
        </w:rPr>
        <w:t>[R11]  OWASP Cheat Sheet — Key Management  https://cheatsheetseries.owasp.org/cheatsheets/Key_Management_Cheat_Sheet.html</w:t>
      </w:r>
      <w:hyperlink r:id="rId24">
        <w:r w:rsidR="00724F85" w:rsidRPr="00AD445F">
          <w:rPr>
            <w:rFonts w:ascii="SimSun" w:eastAsia="SimSun" w:hAnsi="SimSun"/>
            <w:color w:val="2563EB"/>
            <w:u w:val="single"/>
          </w:rPr>
          <w:t>https://cheatsheetseries.owasp.org/cheatsheets/Key_Management_Cheat_Sheet.html</w:t>
        </w:r>
      </w:hyperlink>
    </w:p>
    <w:p w14:paraId="67CFF7C9" w14:textId="77777777" w:rsidR="00724F85" w:rsidRPr="00AD445F" w:rsidRDefault="00000000">
      <w:pPr>
        <w:pStyle w:val="WPReference"/>
        <w:rPr>
          <w:rFonts w:ascii="SimSun" w:eastAsia="SimSun" w:hAnsi="SimSun"/>
        </w:rPr>
      </w:pPr>
      <w:r w:rsidRPr="00AD445F">
        <w:rPr>
          <w:rFonts w:ascii="Aptos" w:eastAsia="Aptos" w:hAnsi="Aptos"/>
        </w:rPr>
        <w:t>[R12]  W3C Recommendation — Decentralized Identifiers v1.0  https://www.w3.org/TR/did-core/</w:t>
      </w:r>
      <w:hyperlink r:id="rId25">
        <w:r w:rsidR="00724F85" w:rsidRPr="00AD445F">
          <w:rPr>
            <w:rFonts w:ascii="SimSun" w:eastAsia="SimSun" w:hAnsi="SimSun"/>
            <w:color w:val="2563EB"/>
            <w:u w:val="single"/>
          </w:rPr>
          <w:t>https://www.w3.org/TR/did-core/</w:t>
        </w:r>
      </w:hyperlink>
    </w:p>
    <w:p w14:paraId="3061B9EE" w14:textId="77777777" w:rsidR="00724F85" w:rsidRPr="00AD445F" w:rsidRDefault="00000000">
      <w:pPr>
        <w:pStyle w:val="WPReference"/>
        <w:rPr>
          <w:rFonts w:ascii="SimSun" w:eastAsia="SimSun" w:hAnsi="SimSun"/>
        </w:rPr>
      </w:pPr>
      <w:r w:rsidRPr="00AD445F">
        <w:rPr>
          <w:rFonts w:ascii="Aptos" w:eastAsia="Aptos" w:hAnsi="Aptos"/>
        </w:rPr>
        <w:t>[R13]  European Commission — GDPR Requests and Right to Erasure  https://commission.europa.eu/law/law-topic/data-protection/information-business-and-organisations/dealing-requests-individuals_en</w:t>
      </w:r>
      <w:hyperlink r:id="rId26">
        <w:r w:rsidR="00724F85" w:rsidRPr="00AD445F">
          <w:rPr>
            <w:rFonts w:ascii="SimSun" w:eastAsia="SimSun" w:hAnsi="SimSun"/>
            <w:color w:val="2563EB"/>
            <w:u w:val="single"/>
          </w:rPr>
          <w:t>https://commission.europa.eu/law/law-topic/data-protection/information-business-and-organisations/dealing-requests-individuals_en</w:t>
        </w:r>
      </w:hyperlink>
    </w:p>
    <w:p w14:paraId="3026A61F" w14:textId="77777777" w:rsidR="00724F85" w:rsidRPr="00AD445F" w:rsidRDefault="00000000">
      <w:pPr>
        <w:pStyle w:val="WPReference"/>
        <w:rPr>
          <w:rFonts w:ascii="SimSun" w:eastAsia="SimSun" w:hAnsi="SimSun"/>
        </w:rPr>
      </w:pPr>
      <w:r w:rsidRPr="00AD445F">
        <w:rPr>
          <w:rFonts w:ascii="Aptos" w:eastAsia="Aptos" w:hAnsi="Aptos"/>
        </w:rPr>
        <w:t>[R14]  Singapore PDPC — Data Protection Obligations  https://www.pdpc.gov.sg/overview-of-pdpa/the-legislation/personal-data-protection-act/data-protection-obligations</w:t>
      </w:r>
      <w:hyperlink r:id="rId27">
        <w:r w:rsidR="00724F85" w:rsidRPr="00AD445F">
          <w:rPr>
            <w:rFonts w:ascii="SimSun" w:eastAsia="SimSun" w:hAnsi="SimSun"/>
            <w:color w:val="2563EB"/>
            <w:u w:val="single"/>
          </w:rPr>
          <w:t>https://www.pdpc.gov.sg/overview-of-pdpa/the-legislation/personal-data-protection-act/data-protection-obligations</w:t>
        </w:r>
      </w:hyperlink>
    </w:p>
    <w:p w14:paraId="55BFB1C0" w14:textId="77777777" w:rsidR="00724F85" w:rsidRPr="00AD445F" w:rsidRDefault="00000000">
      <w:pPr>
        <w:pStyle w:val="WPReference"/>
        <w:rPr>
          <w:rFonts w:ascii="SimSun" w:eastAsia="SimSun" w:hAnsi="SimSun"/>
        </w:rPr>
      </w:pPr>
      <w:r w:rsidRPr="00AD445F">
        <w:rPr>
          <w:rFonts w:ascii="Aptos" w:eastAsia="Aptos" w:hAnsi="Aptos"/>
          <w:b/>
        </w:rPr>
        <w:t>[R15]  Juels &amp; Kaliski — PORs: Proofs of Retrievability for Large Files  https://doi.org/10.1145/1315245.1315317</w:t>
      </w:r>
      <w:hyperlink r:id="rId28">
        <w:r w:rsidR="00724F85" w:rsidRPr="00AD445F">
          <w:rPr>
            <w:rFonts w:ascii="SimSun" w:eastAsia="SimSun" w:hAnsi="SimSun"/>
            <w:color w:val="2563EB"/>
            <w:u w:val="single"/>
          </w:rPr>
          <w:t>https://doi.org/10.1145/1315245.1315317</w:t>
        </w:r>
      </w:hyperlink>
    </w:p>
    <w:p w14:paraId="3612FF52" w14:textId="77777777" w:rsidR="00724F85" w:rsidRPr="00AD445F" w:rsidRDefault="00000000">
      <w:pPr>
        <w:pStyle w:val="WPReference"/>
        <w:rPr>
          <w:rFonts w:ascii="SimSun" w:eastAsia="SimSun" w:hAnsi="SimSun"/>
        </w:rPr>
      </w:pPr>
      <w:r w:rsidRPr="00AD445F">
        <w:rPr>
          <w:rFonts w:ascii="Aptos" w:eastAsia="Aptos" w:hAnsi="Aptos"/>
        </w:rPr>
        <w:t>[R16]  Ateniese et al. — Provable Data Possession at Untrusted Stores  https://research.google/pubs/provable-data-possession-at-untrusted-stores/</w:t>
      </w:r>
      <w:hyperlink r:id="rId29">
        <w:r w:rsidR="00724F85" w:rsidRPr="00AD445F">
          <w:rPr>
            <w:rFonts w:ascii="SimSun" w:eastAsia="SimSun" w:hAnsi="SimSun"/>
            <w:color w:val="2563EB"/>
            <w:u w:val="single"/>
          </w:rPr>
          <w:t>https://research.google/pubs/provable-data-possession-at-untrusted-stores/</w:t>
        </w:r>
      </w:hyperlink>
    </w:p>
    <w:p w14:paraId="11D9CE33" w14:textId="77777777" w:rsidR="00724F85" w:rsidRPr="00AD445F" w:rsidRDefault="00000000">
      <w:pPr>
        <w:pStyle w:val="WPReference"/>
        <w:rPr>
          <w:rFonts w:ascii="SimSun" w:eastAsia="SimSun" w:hAnsi="SimSun"/>
        </w:rPr>
      </w:pPr>
      <w:r w:rsidRPr="00AD445F">
        <w:rPr>
          <w:rFonts w:ascii="Aptos" w:eastAsia="Aptos" w:hAnsi="Aptos"/>
        </w:rPr>
        <w:t>[R17]  Reed &amp; Solomon — Polynomial Codes over Certain Finite Fields  https://doi.org/10.1137/0108018</w:t>
      </w:r>
      <w:hyperlink r:id="rId30">
        <w:r w:rsidR="00724F85" w:rsidRPr="00AD445F">
          <w:rPr>
            <w:rFonts w:ascii="SimSun" w:eastAsia="SimSun" w:hAnsi="SimSun"/>
            <w:color w:val="2563EB"/>
            <w:u w:val="single"/>
          </w:rPr>
          <w:t>https://doi.org/10.1137/0108018</w:t>
        </w:r>
      </w:hyperlink>
    </w:p>
    <w:p w14:paraId="6BC83319" w14:textId="77777777" w:rsidR="00724F85" w:rsidRPr="00AD445F" w:rsidRDefault="00000000">
      <w:pPr>
        <w:pStyle w:val="WPReference"/>
        <w:rPr>
          <w:rFonts w:ascii="SimSun" w:eastAsia="SimSun" w:hAnsi="SimSun"/>
        </w:rPr>
      </w:pPr>
      <w:r w:rsidRPr="00AD445F">
        <w:rPr>
          <w:rFonts w:ascii="Aptos" w:eastAsia="Aptos" w:hAnsi="Aptos"/>
        </w:rPr>
        <w:t>[R18]  Solana Documentation — Accounts and Limits  https://solana.com/docs/core/accounts</w:t>
      </w:r>
      <w:hyperlink r:id="rId31">
        <w:r w:rsidR="00724F85" w:rsidRPr="00AD445F">
          <w:rPr>
            <w:rFonts w:ascii="SimSun" w:eastAsia="SimSun" w:hAnsi="SimSun"/>
            <w:color w:val="2563EB"/>
            <w:u w:val="single"/>
          </w:rPr>
          <w:t>https://solana.com/docs/core/accounts</w:t>
        </w:r>
      </w:hyperlink>
    </w:p>
    <w:p w14:paraId="7A5D253D" w14:textId="77777777" w:rsidR="00724F85" w:rsidRPr="00AD445F" w:rsidRDefault="00000000">
      <w:pPr>
        <w:spacing w:before="240"/>
        <w:jc w:val="center"/>
        <w:rPr>
          <w:rFonts w:ascii="SimSun" w:eastAsia="SimSun" w:hAnsi="SimSun"/>
        </w:rPr>
      </w:pPr>
      <w:r w:rsidRPr="00AD445F">
        <w:rPr>
          <w:rFonts w:ascii="Aptos" w:eastAsia="Aptos" w:hAnsi="Aptos"/>
          <w:b/>
          <w:color w:val="0F766E"/>
          <w:sz w:val="30"/>
        </w:rPr>
        <w:t>OWN YOUR DATA. OWN YOUR FUTURE.</w:t>
      </w:r>
    </w:p>
    <w:sectPr w:rsidR="00724F85" w:rsidRPr="00AD445F" w:rsidSect="00034616">
      <w:headerReference w:type="even" r:id="rId32"/>
      <w:headerReference w:type="default" r:id="rId33"/>
      <w:footerReference w:type="default" r:id="rId34"/>
      <w:headerReference w:type="first" r:id="rId35"/>
      <w:pgSz w:w="11906" w:h="16838"/>
      <w:pgMar w:top="794" w:right="907" w:bottom="794" w:left="907"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AD9BB4" w14:textId="77777777" w:rsidR="00F73520" w:rsidRDefault="00F73520">
      <w:pPr>
        <w:spacing w:after="0" w:line="240" w:lineRule="auto"/>
      </w:pPr>
      <w:r>
        <w:separator/>
      </w:r>
    </w:p>
  </w:endnote>
  <w:endnote w:type="continuationSeparator" w:id="0">
    <w:p w14:paraId="196BA2DA" w14:textId="77777777" w:rsidR="00F73520" w:rsidRDefault="00F73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PingFang SC">
    <w:altName w:val="Cambria"/>
    <w:panose1 w:val="020B06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8BC96" w14:textId="77777777" w:rsidR="00AD445F" w:rsidRDefault="00EC62DF">
    <w:pPr>
      <w:pStyle w:val="Footer"/>
      <w:jc w:val="right"/>
    </w:pPr>
    <w:r>
      <w:rPr>
        <w:noProof/>
        <w:color w:val="4F81BD" w:themeColor="accent1"/>
        <w:sz w:val="20"/>
        <w:szCs w:val="20"/>
      </w:rPr>
      <w:drawing>
        <wp:anchor distT="0" distB="0" distL="114300" distR="114300" simplePos="0" relativeHeight="251658240" behindDoc="1" locked="0" layoutInCell="1" allowOverlap="1" wp14:anchorId="68F1A979" wp14:editId="014A34F4">
          <wp:simplePos x="0" y="0"/>
          <wp:positionH relativeFrom="column">
            <wp:posOffset>5921259</wp:posOffset>
          </wp:positionH>
          <wp:positionV relativeFrom="page">
            <wp:posOffset>10171430</wp:posOffset>
          </wp:positionV>
          <wp:extent cx="199621" cy="200634"/>
          <wp:effectExtent l="0" t="0" r="3810" b="3175"/>
          <wp:wrapNone/>
          <wp:docPr id="11498897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89720" name="Picture 1149889720"/>
                  <pic:cNvPicPr/>
                </pic:nvPicPr>
                <pic:blipFill>
                  <a:blip r:embed="rId1"/>
                  <a:stretch>
                    <a:fillRect/>
                  </a:stretch>
                </pic:blipFill>
                <pic:spPr>
                  <a:xfrm flipH="1" flipV="1">
                    <a:off x="0" y="0"/>
                    <a:ext cx="199621" cy="200634"/>
                  </a:xfrm>
                  <a:prstGeom prst="rect">
                    <a:avLst/>
                  </a:prstGeom>
                </pic:spPr>
              </pic:pic>
            </a:graphicData>
          </a:graphic>
          <wp14:sizeRelH relativeFrom="page">
            <wp14:pctWidth>0</wp14:pctWidth>
          </wp14:sizeRelH>
          <wp14:sizeRelV relativeFrom="page">
            <wp14:pctHeight>0</wp14:pctHeight>
          </wp14:sizeRelV>
        </wp:anchor>
      </w:drawing>
    </w:r>
    <w:r w:rsidR="00AD445F">
      <w:rPr>
        <w:color w:val="4F81BD" w:themeColor="accent1"/>
        <w:sz w:val="20"/>
        <w:szCs w:val="20"/>
      </w:rPr>
      <w:t xml:space="preserve">pg. </w:t>
    </w:r>
    <w:r w:rsidR="00AD445F">
      <w:rPr>
        <w:color w:val="4F81BD" w:themeColor="accent1"/>
        <w:sz w:val="20"/>
        <w:szCs w:val="20"/>
      </w:rPr>
      <w:fldChar w:fldCharType="begin"/>
    </w:r>
    <w:r w:rsidR="00AD445F">
      <w:rPr>
        <w:color w:val="4F81BD" w:themeColor="accent1"/>
        <w:sz w:val="20"/>
        <w:szCs w:val="20"/>
      </w:rPr>
      <w:instrText xml:space="preserve"> PAGE  \* Arabic </w:instrText>
    </w:r>
    <w:r w:rsidR="00AD445F">
      <w:rPr>
        <w:color w:val="4F81BD" w:themeColor="accent1"/>
        <w:sz w:val="20"/>
        <w:szCs w:val="20"/>
      </w:rPr>
      <w:fldChar w:fldCharType="separate"/>
    </w:r>
    <w:r w:rsidR="00AD445F">
      <w:rPr>
        <w:noProof/>
        <w:color w:val="4F81BD" w:themeColor="accent1"/>
        <w:sz w:val="20"/>
        <w:szCs w:val="20"/>
      </w:rPr>
      <w:t>1</w:t>
    </w:r>
    <w:r w:rsidR="00AD445F">
      <w:rPr>
        <w:color w:val="4F81BD" w:themeColor="accent1"/>
        <w:sz w:val="20"/>
        <w:szCs w:val="20"/>
      </w:rPr>
      <w:fldChar w:fldCharType="end"/>
    </w:r>
  </w:p>
  <w:p w14:paraId="62878CB3" w14:textId="77777777" w:rsidR="00724F85" w:rsidRDefault="00724F85">
    <w:pPr>
      <w:pStyle w:val="Footer"/>
      <w:tabs>
        <w:tab w:val="left" w:pos="963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53DE03" w14:textId="77777777" w:rsidR="00F73520" w:rsidRDefault="00F73520">
      <w:pPr>
        <w:spacing w:after="0" w:line="240" w:lineRule="auto"/>
      </w:pPr>
      <w:r>
        <w:separator/>
      </w:r>
    </w:p>
  </w:footnote>
  <w:footnote w:type="continuationSeparator" w:id="0">
    <w:p w14:paraId="40E6B0CB" w14:textId="77777777" w:rsidR="00F73520" w:rsidRDefault="00F73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DFDBBE" w14:textId="77777777" w:rsidR="00BB733D" w:rsidRDefault="00BB7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6349A" w14:textId="77777777" w:rsidR="00724F85" w:rsidRDefault="00000000">
    <w:pPr>
      <w:pStyle w:val="Header"/>
      <w:pBdr>
        <w:bottom w:val="single" w:sz="5" w:space="2" w:color="CCD6E0"/>
      </w:pBdr>
    </w:pPr>
    <w:proofErr w:type="gramStart"/>
    <w:r>
      <w:rPr>
        <w:b/>
        <w:color w:val="5C6B7D"/>
        <w:sz w:val="15"/>
      </w:rPr>
      <w:t>SOVRA  |</w:t>
    </w:r>
    <w:proofErr w:type="gramEnd"/>
    <w:r>
      <w:rPr>
        <w:b/>
        <w:color w:val="5C6B7D"/>
        <w:sz w:val="15"/>
      </w:rPr>
      <w:t xml:space="preserve">  WHITEPAPER v1.1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0AD142" w14:textId="77777777" w:rsidR="00BB733D" w:rsidRDefault="00BB7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0147129">
    <w:abstractNumId w:val="8"/>
  </w:num>
  <w:num w:numId="2" w16cid:durableId="1505627257">
    <w:abstractNumId w:val="6"/>
  </w:num>
  <w:num w:numId="3" w16cid:durableId="897060226">
    <w:abstractNumId w:val="5"/>
  </w:num>
  <w:num w:numId="4" w16cid:durableId="2118669044">
    <w:abstractNumId w:val="4"/>
  </w:num>
  <w:num w:numId="5" w16cid:durableId="1481656086">
    <w:abstractNumId w:val="7"/>
  </w:num>
  <w:num w:numId="6" w16cid:durableId="642388825">
    <w:abstractNumId w:val="3"/>
  </w:num>
  <w:num w:numId="7" w16cid:durableId="1011562521">
    <w:abstractNumId w:val="2"/>
  </w:num>
  <w:num w:numId="8" w16cid:durableId="373041767">
    <w:abstractNumId w:val="1"/>
  </w:num>
  <w:num w:numId="9" w16cid:durableId="5183944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B1D"/>
    <w:rsid w:val="00053827"/>
    <w:rsid w:val="0006063C"/>
    <w:rsid w:val="001400AB"/>
    <w:rsid w:val="0015074B"/>
    <w:rsid w:val="0029639D"/>
    <w:rsid w:val="00326F90"/>
    <w:rsid w:val="004E6BD5"/>
    <w:rsid w:val="006878AB"/>
    <w:rsid w:val="00724F85"/>
    <w:rsid w:val="0073105C"/>
    <w:rsid w:val="00825927"/>
    <w:rsid w:val="00926862"/>
    <w:rsid w:val="00987FB9"/>
    <w:rsid w:val="00A708B0"/>
    <w:rsid w:val="00AA1D8D"/>
    <w:rsid w:val="00AD445F"/>
    <w:rsid w:val="00AD4A06"/>
    <w:rsid w:val="00B47730"/>
    <w:rsid w:val="00BB733D"/>
    <w:rsid w:val="00BE49AE"/>
    <w:rsid w:val="00CB0664"/>
    <w:rsid w:val="00EC62DF"/>
    <w:rsid w:val="00F73520"/>
    <w:rsid w:val="00F778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64730D"/>
  <w14:defaultImageDpi w14:val="300"/>
  <w15:docId w15:val="{2E4ACABC-910D-3D47-A112-E443E1F97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88" w:lineRule="auto"/>
    </w:pPr>
    <w:rPr>
      <w:rFonts w:ascii="PingFang SC" w:eastAsia="PingFang SC" w:hAnsi="PingFang SC"/>
      <w:color w:val="14203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PKicker">
    <w:name w:val="WP Kicker"/>
    <w:pPr>
      <w:spacing w:after="40" w:line="264" w:lineRule="auto"/>
    </w:pPr>
    <w:rPr>
      <w:rFonts w:ascii="PingFang SC" w:eastAsia="PingFang SC" w:hAnsi="PingFang SC"/>
      <w:b/>
      <w:color w:val="0F766E"/>
      <w:sz w:val="17"/>
    </w:rPr>
  </w:style>
  <w:style w:type="paragraph" w:customStyle="1" w:styleId="WPPageTitle">
    <w:name w:val="WP Page Title"/>
    <w:pPr>
      <w:spacing w:after="80" w:line="264" w:lineRule="auto"/>
    </w:pPr>
    <w:rPr>
      <w:rFonts w:ascii="PingFang SC" w:eastAsia="PingFang SC" w:hAnsi="PingFang SC"/>
      <w:b/>
      <w:color w:val="142033"/>
      <w:sz w:val="40"/>
    </w:rPr>
  </w:style>
  <w:style w:type="paragraph" w:customStyle="1" w:styleId="WPDeck">
    <w:name w:val="WP Deck"/>
    <w:pPr>
      <w:spacing w:line="300" w:lineRule="auto"/>
    </w:pPr>
    <w:rPr>
      <w:rFonts w:ascii="PingFang SC" w:eastAsia="PingFang SC" w:hAnsi="PingFang SC"/>
      <w:color w:val="5C6B7D"/>
      <w:sz w:val="21"/>
    </w:rPr>
  </w:style>
  <w:style w:type="paragraph" w:customStyle="1" w:styleId="WPH2">
    <w:name w:val="WP H2"/>
    <w:pPr>
      <w:spacing w:before="160" w:after="80" w:line="264" w:lineRule="auto"/>
    </w:pPr>
    <w:rPr>
      <w:rFonts w:ascii="PingFang SC" w:eastAsia="PingFang SC" w:hAnsi="PingFang SC"/>
      <w:b/>
      <w:color w:val="142033"/>
      <w:sz w:val="24"/>
    </w:rPr>
  </w:style>
  <w:style w:type="paragraph" w:customStyle="1" w:styleId="WPLead">
    <w:name w:val="WP Lead"/>
    <w:pPr>
      <w:spacing w:after="160" w:line="324" w:lineRule="auto"/>
    </w:pPr>
    <w:rPr>
      <w:rFonts w:ascii="PingFang SC" w:eastAsia="PingFang SC" w:hAnsi="PingFang SC"/>
      <w:color w:val="142033"/>
    </w:rPr>
  </w:style>
  <w:style w:type="paragraph" w:customStyle="1" w:styleId="WPBody">
    <w:name w:val="WP Body"/>
    <w:pPr>
      <w:spacing w:after="120" w:line="307" w:lineRule="auto"/>
      <w:ind w:firstLine="204"/>
    </w:pPr>
    <w:rPr>
      <w:rFonts w:ascii="PingFang SC" w:eastAsia="PingFang SC" w:hAnsi="PingFang SC"/>
      <w:color w:val="142033"/>
      <w:sz w:val="19"/>
    </w:rPr>
  </w:style>
  <w:style w:type="paragraph" w:customStyle="1" w:styleId="WPSmall">
    <w:name w:val="WP Small"/>
    <w:pPr>
      <w:spacing w:after="60"/>
    </w:pPr>
    <w:rPr>
      <w:rFonts w:ascii="PingFang SC" w:eastAsia="PingFang SC" w:hAnsi="PingFang SC"/>
      <w:color w:val="5C6B7D"/>
      <w:sz w:val="16"/>
    </w:rPr>
  </w:style>
  <w:style w:type="paragraph" w:customStyle="1" w:styleId="WPCaption">
    <w:name w:val="WP Caption"/>
    <w:pPr>
      <w:spacing w:after="100" w:line="264" w:lineRule="auto"/>
    </w:pPr>
    <w:rPr>
      <w:rFonts w:ascii="PingFang SC" w:eastAsia="PingFang SC" w:hAnsi="PingFang SC"/>
      <w:color w:val="5C6B7D"/>
      <w:sz w:val="15"/>
    </w:rPr>
  </w:style>
  <w:style w:type="paragraph" w:customStyle="1" w:styleId="WPBullet">
    <w:name w:val="WP Bullet"/>
    <w:pPr>
      <w:spacing w:after="70" w:line="288" w:lineRule="auto"/>
    </w:pPr>
    <w:rPr>
      <w:rFonts w:ascii="PingFang SC" w:eastAsia="PingFang SC" w:hAnsi="PingFang SC"/>
      <w:color w:val="142033"/>
      <w:sz w:val="18"/>
    </w:rPr>
  </w:style>
  <w:style w:type="paragraph" w:customStyle="1" w:styleId="WPQuote">
    <w:name w:val="WP Quote"/>
    <w:pPr>
      <w:spacing w:before="120" w:after="160" w:line="324" w:lineRule="auto"/>
    </w:pPr>
    <w:rPr>
      <w:rFonts w:ascii="PingFang SC" w:eastAsia="PingFang SC" w:hAnsi="PingFang SC"/>
      <w:b/>
      <w:color w:val="0F766E"/>
    </w:rPr>
  </w:style>
  <w:style w:type="paragraph" w:customStyle="1" w:styleId="WPReference">
    <w:name w:val="WP Reference"/>
    <w:pPr>
      <w:spacing w:after="50" w:line="264" w:lineRule="auto"/>
    </w:pPr>
    <w:rPr>
      <w:rFonts w:ascii="PingFang SC" w:eastAsia="PingFang SC" w:hAnsi="PingFang SC"/>
      <w:color w:val="142033"/>
      <w:sz w:val="14"/>
    </w:rPr>
  </w:style>
  <w:style w:type="paragraph" w:styleId="TOC1">
    <w:name w:val="toc 1"/>
    <w:basedOn w:val="Normal"/>
    <w:next w:val="Normal"/>
    <w:autoRedefine/>
    <w:uiPriority w:val="39"/>
    <w:semiHidden/>
    <w:unhideWhenUsed/>
    <w:rsid w:val="00BE49AE"/>
    <w:pPr>
      <w:spacing w:before="120" w:after="0"/>
    </w:pPr>
    <w:rPr>
      <w:rFonts w:asciiTheme="minorHAnsi" w:hAnsiTheme="minorHAnsi"/>
      <w:b/>
      <w:bCs/>
      <w:i/>
      <w:iCs/>
      <w:sz w:val="24"/>
      <w:szCs w:val="24"/>
    </w:rPr>
  </w:style>
  <w:style w:type="paragraph" w:styleId="TOC2">
    <w:name w:val="toc 2"/>
    <w:basedOn w:val="Normal"/>
    <w:next w:val="Normal"/>
    <w:autoRedefine/>
    <w:uiPriority w:val="39"/>
    <w:semiHidden/>
    <w:unhideWhenUsed/>
    <w:rsid w:val="00BE49AE"/>
    <w:pPr>
      <w:spacing w:before="120" w:after="0"/>
      <w:ind w:left="190"/>
    </w:pPr>
    <w:rPr>
      <w:rFonts w:asciiTheme="minorHAnsi" w:hAnsiTheme="minorHAnsi"/>
      <w:b/>
      <w:bCs/>
      <w:sz w:val="22"/>
    </w:rPr>
  </w:style>
  <w:style w:type="paragraph" w:styleId="TOC3">
    <w:name w:val="toc 3"/>
    <w:basedOn w:val="Normal"/>
    <w:next w:val="Normal"/>
    <w:autoRedefine/>
    <w:uiPriority w:val="39"/>
    <w:semiHidden/>
    <w:unhideWhenUsed/>
    <w:rsid w:val="00BE49AE"/>
    <w:pPr>
      <w:spacing w:after="0"/>
      <w:ind w:left="380"/>
    </w:pPr>
    <w:rPr>
      <w:rFonts w:asciiTheme="minorHAnsi" w:hAnsiTheme="minorHAnsi"/>
      <w:sz w:val="20"/>
      <w:szCs w:val="20"/>
    </w:rPr>
  </w:style>
  <w:style w:type="paragraph" w:styleId="TOC4">
    <w:name w:val="toc 4"/>
    <w:basedOn w:val="Normal"/>
    <w:next w:val="Normal"/>
    <w:autoRedefine/>
    <w:uiPriority w:val="39"/>
    <w:semiHidden/>
    <w:unhideWhenUsed/>
    <w:rsid w:val="00BE49AE"/>
    <w:pPr>
      <w:spacing w:after="0"/>
      <w:ind w:left="570"/>
    </w:pPr>
    <w:rPr>
      <w:rFonts w:asciiTheme="minorHAnsi" w:hAnsiTheme="minorHAnsi"/>
      <w:sz w:val="20"/>
      <w:szCs w:val="20"/>
    </w:rPr>
  </w:style>
  <w:style w:type="paragraph" w:styleId="TOC5">
    <w:name w:val="toc 5"/>
    <w:basedOn w:val="Normal"/>
    <w:next w:val="Normal"/>
    <w:autoRedefine/>
    <w:uiPriority w:val="39"/>
    <w:semiHidden/>
    <w:unhideWhenUsed/>
    <w:rsid w:val="00BE49AE"/>
    <w:pPr>
      <w:spacing w:after="0"/>
      <w:ind w:left="760"/>
    </w:pPr>
    <w:rPr>
      <w:rFonts w:asciiTheme="minorHAnsi" w:hAnsiTheme="minorHAnsi"/>
      <w:sz w:val="20"/>
      <w:szCs w:val="20"/>
    </w:rPr>
  </w:style>
  <w:style w:type="paragraph" w:styleId="TOC6">
    <w:name w:val="toc 6"/>
    <w:basedOn w:val="Normal"/>
    <w:next w:val="Normal"/>
    <w:autoRedefine/>
    <w:uiPriority w:val="39"/>
    <w:semiHidden/>
    <w:unhideWhenUsed/>
    <w:rsid w:val="00BE49AE"/>
    <w:pPr>
      <w:spacing w:after="0"/>
      <w:ind w:left="950"/>
    </w:pPr>
    <w:rPr>
      <w:rFonts w:asciiTheme="minorHAnsi" w:hAnsiTheme="minorHAnsi"/>
      <w:sz w:val="20"/>
      <w:szCs w:val="20"/>
    </w:rPr>
  </w:style>
  <w:style w:type="paragraph" w:styleId="TOC7">
    <w:name w:val="toc 7"/>
    <w:basedOn w:val="Normal"/>
    <w:next w:val="Normal"/>
    <w:autoRedefine/>
    <w:uiPriority w:val="39"/>
    <w:semiHidden/>
    <w:unhideWhenUsed/>
    <w:rsid w:val="00BE49AE"/>
    <w:pPr>
      <w:spacing w:after="0"/>
      <w:ind w:left="1140"/>
    </w:pPr>
    <w:rPr>
      <w:rFonts w:asciiTheme="minorHAnsi" w:hAnsiTheme="minorHAnsi"/>
      <w:sz w:val="20"/>
      <w:szCs w:val="20"/>
    </w:rPr>
  </w:style>
  <w:style w:type="paragraph" w:styleId="TOC8">
    <w:name w:val="toc 8"/>
    <w:basedOn w:val="Normal"/>
    <w:next w:val="Normal"/>
    <w:autoRedefine/>
    <w:uiPriority w:val="39"/>
    <w:semiHidden/>
    <w:unhideWhenUsed/>
    <w:rsid w:val="00BE49AE"/>
    <w:pPr>
      <w:spacing w:after="0"/>
      <w:ind w:left="1330"/>
    </w:pPr>
    <w:rPr>
      <w:rFonts w:asciiTheme="minorHAnsi" w:hAnsiTheme="minorHAnsi"/>
      <w:sz w:val="20"/>
      <w:szCs w:val="20"/>
    </w:rPr>
  </w:style>
  <w:style w:type="paragraph" w:styleId="TOC9">
    <w:name w:val="toc 9"/>
    <w:basedOn w:val="Normal"/>
    <w:next w:val="Normal"/>
    <w:autoRedefine/>
    <w:uiPriority w:val="39"/>
    <w:semiHidden/>
    <w:unhideWhenUsed/>
    <w:rsid w:val="00BE49AE"/>
    <w:pPr>
      <w:spacing w:after="0"/>
      <w:ind w:left="15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spec.filecoin.io/algorithms/pos/porep/" TargetMode="External"/><Relationship Id="rId26" Type="http://schemas.openxmlformats.org/officeDocument/2006/relationships/hyperlink" Target="https://commission.europa.eu/law/law-topic/data-protection/information-business-and-organisations/dealing-requests-individuals_en" TargetMode="External"/><Relationship Id="rId21" Type="http://schemas.openxmlformats.org/officeDocument/2006/relationships/hyperlink" Target="https://github.com/ArweaveTeam/docs.arweave.org-info/blob/master/development/protocol/overview.md"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cs.ipfs.tech/concepts/privacy-and-encryption/" TargetMode="External"/><Relationship Id="rId25" Type="http://schemas.openxmlformats.org/officeDocument/2006/relationships/hyperlink" Target="https://www.w3.org/TR/did-core/"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cs.ipfs.tech/concepts/content-addressing/" TargetMode="External"/><Relationship Id="rId20" Type="http://schemas.openxmlformats.org/officeDocument/2006/relationships/hyperlink" Target="https://docs.wal.app/docs/system-overview/core-concepts" TargetMode="External"/><Relationship Id="rId29" Type="http://schemas.openxmlformats.org/officeDocument/2006/relationships/hyperlink" Target="https://research.google/pubs/provable-data-possession-at-untrusted-sto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cheatsheetseries.owasp.org/cheatsheets/Key_Management_Cheat_Sheet.html"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olana.com/docs/core/fees" TargetMode="External"/><Relationship Id="rId23" Type="http://schemas.openxmlformats.org/officeDocument/2006/relationships/hyperlink" Target="https://csrc.nist.gov/pubs/sp/800/38/d/final" TargetMode="External"/><Relationship Id="rId28" Type="http://schemas.openxmlformats.org/officeDocument/2006/relationships/hyperlink" Target="https://doi.org/10.1145/1315245.1315317"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storj.dev/learn" TargetMode="External"/><Relationship Id="rId31" Type="http://schemas.openxmlformats.org/officeDocument/2006/relationships/hyperlink" Target="https://solana.com/docs/core/account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olana.com/docs/core" TargetMode="External"/><Relationship Id="rId22" Type="http://schemas.openxmlformats.org/officeDocument/2006/relationships/hyperlink" Target="https://sia.tech/learn/file-contracts" TargetMode="External"/><Relationship Id="rId27" Type="http://schemas.openxmlformats.org/officeDocument/2006/relationships/hyperlink" Target="https://www.pdpc.gov.sg/overview-of-pdpa/the-legislation/personal-data-protection-act/data-protection-obligations" TargetMode="External"/><Relationship Id="rId30" Type="http://schemas.openxmlformats.org/officeDocument/2006/relationships/hyperlink" Target="https://doi.org/10.1137/0108018" TargetMode="External"/><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47</Pages>
  <Words>17964</Words>
  <Characters>111919</Characters>
  <Application>Microsoft Office Word</Application>
  <DocSecurity>0</DocSecurity>
  <Lines>1645</Lines>
  <Paragraphs>822</Paragraphs>
  <ScaleCrop>false</ScaleCrop>
  <HeadingPairs>
    <vt:vector size="2" baseType="variant">
      <vt:variant>
        <vt:lpstr>Title</vt:lpstr>
      </vt:variant>
      <vt:variant>
        <vt:i4>1</vt:i4>
      </vt:variant>
    </vt:vector>
  </HeadingPairs>
  <TitlesOfParts>
    <vt:vector size="1" baseType="lpstr">
      <vt:lpstr>SOVRA Whitepaper v1.1 — Optimized Reader Edition</vt:lpstr>
    </vt:vector>
  </TitlesOfParts>
  <Manager/>
  <Company/>
  <LinksUpToDate>false</LinksUpToDate>
  <CharactersWithSpaces>129061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SOVRA Whitepaper v1.1 — Optimized Reader Edition</dc:title>
  <dc:subject>Sovereign data infrastructure, verifiable storage and SOVR network economics</dc:subject>
  <dc:creator>SOVRA</dc:creator>
  <cp:keywords>SOVRA, SOVR, decentralized storage, data sovereignty, Solana</cp:keywords>
  <dc:description>Prose-led optimized reader edition, October 2026</dc:description>
  <cp:lastModifiedBy>N8</cp:lastModifiedBy>
  <cp:revision>7</cp:revision>
  <dcterms:created xsi:type="dcterms:W3CDTF">2013-12-23T23:15:00Z</dcterms:created>
  <dcterms:modified xsi:type="dcterms:W3CDTF">2026-10-10T13:10:00Z</dcterms:modified>
  <cp:category/>
</cp:coreProperties>
</file>